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D5C28">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14</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500852</w:t>
      </w:r>
      <w:bookmarkStart w:id="16" w:name="_GoBack"/>
      <w:bookmarkEnd w:id="16"/>
    </w:p>
    <w:p w14:paraId="420CECAF">
      <w:pPr>
        <w:pStyle w:val="17"/>
        <w:tabs>
          <w:tab w:val="right" w:pos="9781"/>
          <w:tab w:val="right" w:pos="13323"/>
          <w:tab w:val="clear" w:pos="4153"/>
          <w:tab w:val="clear" w:pos="8306"/>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eastAsia="宋体" w:cs="Arial"/>
          <w:b/>
          <w:sz w:val="24"/>
          <w:szCs w:val="24"/>
          <w:lang w:val="en-US" w:eastAsia="zh-CN"/>
        </w:rPr>
        <w:t>1</w:t>
      </w:r>
      <w:r>
        <w:rPr>
          <w:rFonts w:hint="eastAsia" w:ascii="Arial" w:hAnsi="Arial"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February</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21005522">
      <w:pPr>
        <w:tabs>
          <w:tab w:val="left" w:pos="1765"/>
          <w:tab w:val="center" w:pos="4557"/>
        </w:tabs>
        <w:rPr>
          <w:b/>
          <w:sz w:val="22"/>
        </w:rPr>
      </w:pPr>
    </w:p>
    <w:p w14:paraId="2BA5A307">
      <w:pPr>
        <w:tabs>
          <w:tab w:val="left" w:pos="1765"/>
          <w:tab w:val="center" w:pos="4557"/>
        </w:tabs>
        <w:rPr>
          <w:rFonts w:hint="default" w:eastAsiaTheme="minorEastAsia"/>
          <w:b/>
          <w:sz w:val="22"/>
          <w:lang w:val="en-US" w:eastAsia="zh-CN"/>
        </w:rPr>
      </w:pPr>
      <w:r>
        <w:rPr>
          <w:b/>
          <w:sz w:val="22"/>
        </w:rPr>
        <w:t>Agenda Ite</w:t>
      </w:r>
      <w:r>
        <w:rPr>
          <w:b/>
          <w:sz w:val="22"/>
          <w:highlight w:val="none"/>
        </w:rPr>
        <w:t>m:</w:t>
      </w:r>
      <w:r>
        <w:rPr>
          <w:b/>
          <w:sz w:val="22"/>
          <w:highlight w:val="none"/>
        </w:rPr>
        <w:tab/>
      </w:r>
      <w:r>
        <w:rPr>
          <w:rFonts w:hint="eastAsia"/>
          <w:sz w:val="22"/>
          <w:highlight w:val="none"/>
          <w:lang w:val="en-US" w:eastAsia="zh-CN"/>
        </w:rPr>
        <w:t>7.29.4.1</w:t>
      </w:r>
    </w:p>
    <w:p w14:paraId="745AAAD4">
      <w:pPr>
        <w:tabs>
          <w:tab w:val="left" w:pos="1765"/>
        </w:tabs>
        <w:rPr>
          <w:sz w:val="22"/>
        </w:rPr>
      </w:pPr>
      <w:r>
        <w:rPr>
          <w:b/>
          <w:sz w:val="22"/>
        </w:rPr>
        <w:t xml:space="preserve">Source: </w:t>
      </w:r>
      <w:r>
        <w:rPr>
          <w:b/>
          <w:sz w:val="22"/>
        </w:rPr>
        <w:tab/>
      </w:r>
      <w:bookmarkStart w:id="1" w:name="_Hlk41145958"/>
      <w:r>
        <w:rPr>
          <w:sz w:val="22"/>
        </w:rPr>
        <w:t>CMCC</w:t>
      </w:r>
      <w:bookmarkEnd w:id="1"/>
    </w:p>
    <w:p w14:paraId="458C21CA">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val="en-US" w:eastAsia="zh-CN"/>
        </w:rPr>
        <w:t xml:space="preserve">  </w:t>
      </w:r>
      <w:r>
        <w:rPr>
          <w:rFonts w:hint="eastAsia"/>
          <w:sz w:val="22"/>
        </w:rPr>
        <w:t>Discussion on the RRM requirement for NTN phase3</w:t>
      </w:r>
    </w:p>
    <w:bookmarkEnd w:id="3"/>
    <w:bookmarkEnd w:id="4"/>
    <w:p w14:paraId="5F6D89EA">
      <w:pPr>
        <w:tabs>
          <w:tab w:val="left" w:pos="1765"/>
        </w:tabs>
        <w:rPr>
          <w:sz w:val="22"/>
        </w:rPr>
      </w:pPr>
      <w:r>
        <w:rPr>
          <w:b/>
          <w:sz w:val="22"/>
        </w:rPr>
        <w:t>Document for:</w:t>
      </w:r>
      <w:r>
        <w:rPr>
          <w:b/>
          <w:sz w:val="22"/>
        </w:rPr>
        <w:tab/>
      </w:r>
      <w:r>
        <w:rPr>
          <w:sz w:val="22"/>
        </w:rPr>
        <w:t>Discussion</w:t>
      </w:r>
    </w:p>
    <w:p w14:paraId="16CF6D08">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11A9E04">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In last meeting, RAN4 discussed (e)RedCap UEs over NR FR1-NTN. The WF has been approved in [1]. </w:t>
      </w:r>
    </w:p>
    <w:p w14:paraId="4D5A168E">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discuss the RRM impact</w:t>
      </w:r>
      <w:r>
        <w:rPr>
          <w:rFonts w:hint="eastAsia" w:eastAsia="等线"/>
          <w:sz w:val="20"/>
          <w:szCs w:val="20"/>
          <w:lang w:val="en-US" w:eastAsia="zh-CN"/>
        </w:rPr>
        <w:t xml:space="preserve"> and specific requirements</w:t>
      </w:r>
      <w:r>
        <w:rPr>
          <w:rFonts w:eastAsia="等线"/>
          <w:sz w:val="20"/>
          <w:szCs w:val="20"/>
        </w:rPr>
        <w:t>.</w:t>
      </w:r>
    </w:p>
    <w:p w14:paraId="1EA5D032">
      <w:pPr>
        <w:pStyle w:val="2"/>
        <w:numPr>
          <w:ilvl w:val="0"/>
          <w:numId w:val="5"/>
        </w:numPr>
        <w:pBdr>
          <w:top w:val="single" w:color="auto" w:sz="12" w:space="3"/>
        </w:pBdr>
        <w:spacing w:before="120" w:after="60" w:line="240" w:lineRule="auto"/>
        <w:rPr>
          <w:rFonts w:hint="eastAsia" w:ascii="Times New Roman" w:hAnsi="Times New Roman"/>
          <w:b w:val="0"/>
          <w:bCs w:val="0"/>
          <w:kern w:val="0"/>
          <w:sz w:val="36"/>
          <w:szCs w:val="36"/>
          <w:lang w:val="en-US" w:eastAsia="ja-JP"/>
        </w:rPr>
      </w:pPr>
      <w:bookmarkStart w:id="5" w:name="_Hlk147849822"/>
      <w:bookmarkStart w:id="6" w:name="_Hlk70326378"/>
      <w:bookmarkStart w:id="7" w:name="OLE_LINK2"/>
      <w:bookmarkStart w:id="8" w:name="OLE_LINK1"/>
      <w:r>
        <w:rPr>
          <w:rFonts w:hint="eastAsia" w:ascii="Times New Roman" w:hAnsi="Times New Roman"/>
          <w:b w:val="0"/>
          <w:bCs w:val="0"/>
          <w:kern w:val="0"/>
          <w:sz w:val="36"/>
          <w:szCs w:val="36"/>
          <w:lang w:val="en-US" w:eastAsia="ja-JP"/>
        </w:rPr>
        <w:t>General consideration on RRM requirements</w:t>
      </w:r>
    </w:p>
    <w:p w14:paraId="51FE3149">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 xml:space="preserve">Issue </w:t>
      </w:r>
      <w:bookmarkStart w:id="9" w:name="OLE_LINK5"/>
      <w:bookmarkStart w:id="10" w:name="OLE_LINK6"/>
      <w:r>
        <w:rPr>
          <w:rFonts w:hint="eastAsia"/>
          <w:b/>
          <w:i/>
          <w:iCs/>
          <w:sz w:val="20"/>
          <w:szCs w:val="20"/>
          <w:highlight w:val="none"/>
          <w:u w:val="single"/>
          <w:lang w:val="en-US" w:eastAsia="ko-KR"/>
        </w:rPr>
        <w:t>1-1-1</w:t>
      </w:r>
      <w:bookmarkEnd w:id="9"/>
      <w:bookmarkEnd w:id="10"/>
      <w:r>
        <w:rPr>
          <w:rFonts w:hint="eastAsia"/>
          <w:b/>
          <w:i/>
          <w:iCs/>
          <w:sz w:val="20"/>
          <w:szCs w:val="20"/>
          <w:highlight w:val="none"/>
          <w:u w:val="single"/>
          <w:lang w:val="en-US" w:eastAsia="ko-KR"/>
        </w:rPr>
        <w:t>: Whether to define measurement requirement for inter-RAT (NR NTN to E-UTRAN TN) in IDLE/INACITVE mode for (e)RedCap UE with FR1-NTN?</w:t>
      </w:r>
    </w:p>
    <w:p w14:paraId="3468F296">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&lt;Way Forward&gt;:</w:t>
      </w:r>
    </w:p>
    <w:p w14:paraId="69091491">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Proposal 1 (CATT, Xiaomi, LG, Samsung CMCC, Apple, Ericsson, HW, ZTE): </w:t>
      </w:r>
    </w:p>
    <w:p w14:paraId="25E64853">
      <w:pPr>
        <w:numPr>
          <w:ilvl w:val="1"/>
          <w:numId w:val="6"/>
        </w:numPr>
        <w:spacing w:after="120"/>
        <w:ind w:left="114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RAN4 to define measurement requirements for inter-RAT (NTN to E-UTRAN TN) measurement in IDLE/INACITVE mode for (e)RedCap UE with FR1-NTN.</w:t>
      </w:r>
    </w:p>
    <w:p w14:paraId="39239B80">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Proposal 2 (vivo): </w:t>
      </w:r>
    </w:p>
    <w:p w14:paraId="3966F894">
      <w:pPr>
        <w:numPr>
          <w:ilvl w:val="1"/>
          <w:numId w:val="6"/>
        </w:numPr>
        <w:spacing w:after="120"/>
        <w:ind w:left="114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RAN4 not to define the measurement requirements for inter-RAT (NTN to E-UTRA TN) measurement.</w:t>
      </w:r>
    </w:p>
    <w:p w14:paraId="4E3F34C1">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 xml:space="preserve">Considering some areas may not been covered by 5G network yet, e.g. desert, coastal, and forest area edge, which are typical NTN service cases, we support to also define the cell re-selection requirement for inter-RAT (NTN to E-UTRA TN) measurement, to guarantee the service consistency between NTN and TN network. </w:t>
      </w:r>
    </w:p>
    <w:p w14:paraId="7D5CCCB2">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Define the cell re-selection requirement for inter-RAT (NTN to E-UTRA TN) measurement.</w:t>
      </w:r>
    </w:p>
    <w:p w14:paraId="44051666">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p>
    <w:p w14:paraId="506F6366">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1-1-2: The Requirements to be further determined</w:t>
      </w:r>
    </w:p>
    <w:p w14:paraId="15634CAB">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&lt;Way Forward&gt;:</w:t>
      </w:r>
    </w:p>
    <w:p w14:paraId="72866B63">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SDT requirements in RRC_INACTIVE state,</w:t>
      </w:r>
    </w:p>
    <w:p w14:paraId="75A9B700">
      <w:pPr>
        <w:numPr>
          <w:ilvl w:val="1"/>
          <w:numId w:val="6"/>
        </w:numPr>
        <w:spacing w:after="120"/>
        <w:ind w:left="1140" w:leftChars="0"/>
        <w:contextualSpacing w:val="0"/>
        <w:rPr>
          <w:rFonts w:hint="eastAsia" w:ascii="Times New Roman" w:hAnsi="Times New Roman" w:eastAsia="宋体" w:cs="Times New Roman"/>
          <w:i/>
          <w:iCs/>
          <w:sz w:val="20"/>
          <w:szCs w:val="20"/>
          <w:lang w:val="en-GB" w:eastAsia="zh-CN" w:bidi="ar-SA"/>
        </w:rPr>
      </w:pPr>
      <w:r>
        <w:rPr>
          <w:rFonts w:hint="eastAsia" w:ascii="Times New Roman" w:hAnsi="Times New Roman" w:eastAsia="宋体" w:cs="Times New Roman"/>
          <w:i/>
          <w:iCs/>
          <w:sz w:val="20"/>
          <w:szCs w:val="20"/>
          <w:lang w:val="en-GB" w:eastAsia="zh-CN" w:bidi="ar-SA"/>
        </w:rPr>
        <w:t xml:space="preserve">Proposal 1 (CATT, QC, OPPO, HW): RAN4 to remove the RSRP-based TA validation in </w:t>
      </w:r>
      <w:r>
        <w:rPr>
          <w:rFonts w:hint="eastAsia" w:ascii="Times New Roman" w:hAnsi="Times New Roman" w:eastAsia="宋体" w:cs="Times New Roman"/>
          <w:i/>
          <w:iCs/>
          <w:sz w:val="20"/>
          <w:szCs w:val="20"/>
          <w:lang w:val="en-US" w:eastAsia="zh-CN" w:bidi="ar-SA"/>
        </w:rPr>
        <w:t>CG-</w:t>
      </w:r>
      <w:r>
        <w:rPr>
          <w:rFonts w:hint="eastAsia" w:ascii="Times New Roman" w:hAnsi="Times New Roman" w:eastAsia="宋体" w:cs="Times New Roman"/>
          <w:i/>
          <w:iCs/>
          <w:sz w:val="20"/>
          <w:szCs w:val="20"/>
          <w:lang w:val="en-GB" w:eastAsia="zh-CN" w:bidi="ar-SA"/>
        </w:rPr>
        <w:t>SDT RRM requirements.</w:t>
      </w:r>
    </w:p>
    <w:p w14:paraId="6B4B7E4E">
      <w:pPr>
        <w:numPr>
          <w:ilvl w:val="2"/>
          <w:numId w:val="6"/>
        </w:numPr>
        <w:spacing w:after="120"/>
        <w:ind w:left="1560" w:leftChars="0"/>
        <w:contextualSpacing w:val="0"/>
        <w:rPr>
          <w:rFonts w:ascii="Times New Roman" w:hAnsi="Times New Roman" w:cs="Times New Roman"/>
          <w:i/>
          <w:iCs w:val="0"/>
          <w:sz w:val="20"/>
          <w:szCs w:val="20"/>
          <w:lang w:val="en-GB"/>
        </w:rPr>
      </w:pPr>
      <w:r>
        <w:rPr>
          <w:rFonts w:hint="eastAsia" w:ascii="Times New Roman" w:hAnsi="Times New Roman" w:cs="Times New Roman" w:eastAsiaTheme="minorEastAsia"/>
          <w:i/>
          <w:iCs w:val="0"/>
          <w:sz w:val="20"/>
          <w:szCs w:val="20"/>
        </w:rPr>
        <w:t>Proposal</w:t>
      </w:r>
      <w:r>
        <w:rPr>
          <w:rFonts w:ascii="Times New Roman" w:hAnsi="Times New Roman" w:cs="Times New Roman" w:eastAsiaTheme="minorEastAsia"/>
          <w:i/>
          <w:iCs w:val="0"/>
          <w:sz w:val="20"/>
          <w:szCs w:val="20"/>
        </w:rPr>
        <w:t xml:space="preserve"> </w:t>
      </w:r>
      <w:r>
        <w:rPr>
          <w:rFonts w:hint="eastAsia" w:ascii="Times New Roman" w:hAnsi="Times New Roman" w:cs="Times New Roman" w:eastAsiaTheme="minorEastAsia"/>
          <w:i/>
          <w:iCs w:val="0"/>
          <w:sz w:val="20"/>
          <w:szCs w:val="20"/>
        </w:rPr>
        <w:t xml:space="preserve">1a (CATT): </w:t>
      </w:r>
      <w:r>
        <w:rPr>
          <w:rFonts w:ascii="Times New Roman" w:hAnsi="Times New Roman" w:cs="Times New Roman"/>
          <w:i/>
          <w:iCs w:val="0"/>
          <w:sz w:val="21"/>
          <w:szCs w:val="22"/>
          <w:lang w:val="en-GB"/>
        </w:rPr>
        <w:t>TA validation based on the RSRP change criterion for RedCap in TN shall be removed and the requirements may refer to the PUR requirements for IoT for NTN</w:t>
      </w:r>
      <w:r>
        <w:rPr>
          <w:rFonts w:hint="eastAsia" w:ascii="Times New Roman" w:hAnsi="Times New Roman" w:cs="Times New Roman"/>
          <w:i/>
          <w:iCs w:val="0"/>
          <w:sz w:val="21"/>
          <w:szCs w:val="22"/>
          <w:lang w:val="en-GB"/>
        </w:rPr>
        <w:t>.</w:t>
      </w:r>
    </w:p>
    <w:p w14:paraId="2254A388">
      <w:pPr>
        <w:numPr>
          <w:ilvl w:val="2"/>
          <w:numId w:val="6"/>
        </w:numPr>
        <w:spacing w:after="120"/>
        <w:ind w:left="1560" w:leftChars="0"/>
        <w:contextualSpacing w:val="0"/>
        <w:rPr>
          <w:rFonts w:ascii="Times New Roman" w:hAnsi="Times New Roman" w:cs="Times New Roman" w:eastAsiaTheme="minorEastAsia"/>
          <w:i/>
          <w:iCs w:val="0"/>
          <w:sz w:val="20"/>
          <w:szCs w:val="20"/>
        </w:rPr>
      </w:pPr>
      <w:r>
        <w:rPr>
          <w:rFonts w:hint="eastAsia" w:ascii="Times New Roman" w:hAnsi="Times New Roman" w:cs="Times New Roman" w:eastAsiaTheme="minorEastAsia"/>
          <w:i/>
          <w:iCs w:val="0"/>
          <w:sz w:val="20"/>
          <w:szCs w:val="20"/>
        </w:rPr>
        <w:t>Proposal</w:t>
      </w:r>
      <w:r>
        <w:rPr>
          <w:rFonts w:ascii="Times New Roman" w:hAnsi="Times New Roman" w:cs="Times New Roman" w:eastAsiaTheme="minorEastAsia"/>
          <w:i/>
          <w:iCs w:val="0"/>
          <w:sz w:val="20"/>
          <w:szCs w:val="20"/>
        </w:rPr>
        <w:t xml:space="preserve"> </w:t>
      </w:r>
      <w:r>
        <w:rPr>
          <w:rFonts w:hint="eastAsia" w:ascii="Times New Roman" w:hAnsi="Times New Roman" w:cs="Times New Roman" w:eastAsiaTheme="minorEastAsia"/>
          <w:i/>
          <w:iCs w:val="0"/>
          <w:sz w:val="20"/>
          <w:szCs w:val="20"/>
        </w:rPr>
        <w:t xml:space="preserve">1b (LG): </w:t>
      </w:r>
      <w:r>
        <w:rPr>
          <w:rFonts w:hint="eastAsia" w:ascii="Times New Roman" w:hAnsi="Times New Roman" w:cs="Times New Roman"/>
          <w:bCs/>
          <w:i/>
          <w:iCs w:val="0"/>
          <w:sz w:val="20"/>
        </w:rPr>
        <w:t xml:space="preserve">TA validation </w:t>
      </w:r>
      <w:r>
        <w:rPr>
          <w:rFonts w:ascii="Times New Roman" w:hAnsi="Times New Roman" w:cs="Times New Roman"/>
          <w:bCs/>
          <w:i/>
          <w:iCs w:val="0"/>
          <w:sz w:val="20"/>
        </w:rPr>
        <w:t>procedure</w:t>
      </w:r>
      <w:r>
        <w:rPr>
          <w:rFonts w:hint="eastAsia" w:ascii="Times New Roman" w:hAnsi="Times New Roman" w:cs="Times New Roman"/>
          <w:bCs/>
          <w:i/>
          <w:iCs w:val="0"/>
          <w:sz w:val="20"/>
        </w:rPr>
        <w:t xml:space="preserve"> can be skipped for SDT requirements if NTN (e)RedCap UE supports RACH-less HO or UE updates the </w:t>
      </w:r>
      <m:oMath>
        <m:sSubSup>
          <m:sSubSupPr>
            <m:ctrlPr>
              <w:rPr>
                <w:rFonts w:ascii="Cambria Math" w:hAnsi="Cambria Math" w:cs="Times New Roman"/>
                <w:bCs/>
                <w:i/>
                <w:iCs w:val="0"/>
                <w:sz w:val="20"/>
              </w:rPr>
            </m:ctrlPr>
          </m:sSubSupPr>
          <m:e>
            <m:r>
              <m:rPr/>
              <w:rPr>
                <w:rFonts w:hint="default" w:ascii="Cambria Math" w:hAnsi="Cambria Math" w:cs="Times New Roman"/>
                <w:sz w:val="20"/>
              </w:rPr>
              <m:t>N</m:t>
            </m:r>
            <m:ctrlPr>
              <w:rPr>
                <w:rFonts w:ascii="Cambria Math" w:hAnsi="Cambria Math" w:cs="Times New Roman"/>
                <w:bCs/>
                <w:i/>
                <w:iCs w:val="0"/>
                <w:sz w:val="20"/>
              </w:rPr>
            </m:ctrlPr>
          </m:e>
          <m:sub>
            <m:r>
              <m:rPr/>
              <w:rPr>
                <w:rFonts w:hint="default" w:ascii="Cambria Math" w:hAnsi="Cambria Math" w:cs="Times New Roman"/>
                <w:sz w:val="20"/>
              </w:rPr>
              <m:t>TA,adj</m:t>
            </m:r>
            <m:ctrlPr>
              <w:rPr>
                <w:rFonts w:ascii="Cambria Math" w:hAnsi="Cambria Math" w:cs="Times New Roman"/>
                <w:bCs/>
                <w:i/>
                <w:iCs w:val="0"/>
                <w:sz w:val="20"/>
              </w:rPr>
            </m:ctrlPr>
          </m:sub>
          <m:sup>
            <m:r>
              <m:rPr/>
              <w:rPr>
                <w:rFonts w:hint="default" w:ascii="Cambria Math" w:hAnsi="Cambria Math" w:cs="Times New Roman"/>
                <w:sz w:val="20"/>
              </w:rPr>
              <m:t>common</m:t>
            </m:r>
            <m:ctrlPr>
              <w:rPr>
                <w:rFonts w:ascii="Cambria Math" w:hAnsi="Cambria Math" w:cs="Times New Roman"/>
                <w:bCs/>
                <w:i/>
                <w:iCs w:val="0"/>
                <w:sz w:val="20"/>
              </w:rPr>
            </m:ctrlPr>
          </m:sup>
        </m:sSubSup>
      </m:oMath>
      <w:r>
        <w:rPr>
          <w:rFonts w:hint="eastAsia" w:ascii="Times New Roman" w:hAnsi="Times New Roman" w:cs="Times New Roman"/>
          <w:bCs/>
          <w:i/>
          <w:iCs w:val="0"/>
          <w:sz w:val="20"/>
        </w:rPr>
        <w:t xml:space="preserve"> and </w:t>
      </w:r>
      <m:oMath>
        <m:sSubSup>
          <m:sSubSupPr>
            <m:ctrlPr>
              <w:rPr>
                <w:rFonts w:ascii="Cambria Math" w:hAnsi="Cambria Math" w:cs="Times New Roman"/>
                <w:bCs/>
                <w:i/>
                <w:iCs w:val="0"/>
                <w:sz w:val="20"/>
              </w:rPr>
            </m:ctrlPr>
          </m:sSubSupPr>
          <m:e>
            <m:r>
              <m:rPr/>
              <w:rPr>
                <w:rFonts w:hint="default" w:ascii="Cambria Math" w:hAnsi="Cambria Math" w:cs="Times New Roman"/>
                <w:sz w:val="20"/>
              </w:rPr>
              <m:t>N</m:t>
            </m:r>
            <m:ctrlPr>
              <w:rPr>
                <w:rFonts w:ascii="Cambria Math" w:hAnsi="Cambria Math" w:cs="Times New Roman"/>
                <w:bCs/>
                <w:i/>
                <w:iCs w:val="0"/>
                <w:sz w:val="20"/>
              </w:rPr>
            </m:ctrlPr>
          </m:e>
          <m:sub>
            <m:r>
              <m:rPr/>
              <w:rPr>
                <w:rFonts w:hint="default" w:ascii="Cambria Math" w:hAnsi="Cambria Math" w:cs="Times New Roman"/>
                <w:sz w:val="20"/>
              </w:rPr>
              <m:t>TA,adj</m:t>
            </m:r>
            <m:ctrlPr>
              <w:rPr>
                <w:rFonts w:ascii="Cambria Math" w:hAnsi="Cambria Math" w:cs="Times New Roman"/>
                <w:bCs/>
                <w:i/>
                <w:iCs w:val="0"/>
                <w:sz w:val="20"/>
              </w:rPr>
            </m:ctrlPr>
          </m:sub>
          <m:sup>
            <m:r>
              <m:rPr/>
              <w:rPr>
                <w:rFonts w:hint="default" w:ascii="Cambria Math" w:hAnsi="Cambria Math" w:cs="Times New Roman"/>
                <w:sz w:val="20"/>
              </w:rPr>
              <m:t>UE</m:t>
            </m:r>
            <m:ctrlPr>
              <w:rPr>
                <w:rFonts w:ascii="Cambria Math" w:hAnsi="Cambria Math" w:cs="Times New Roman"/>
                <w:bCs/>
                <w:i/>
                <w:iCs w:val="0"/>
                <w:sz w:val="20"/>
              </w:rPr>
            </m:ctrlPr>
          </m:sup>
        </m:sSubSup>
      </m:oMath>
      <w:r>
        <w:rPr>
          <w:rFonts w:hint="eastAsia" w:ascii="Times New Roman" w:hAnsi="Times New Roman" w:cs="Times New Roman"/>
          <w:bCs/>
          <w:i/>
          <w:iCs w:val="0"/>
          <w:sz w:val="20"/>
        </w:rPr>
        <w:t xml:space="preserve"> before transmission.</w:t>
      </w:r>
    </w:p>
    <w:p w14:paraId="62170101">
      <w:pPr>
        <w:numPr>
          <w:ilvl w:val="2"/>
          <w:numId w:val="6"/>
        </w:numPr>
        <w:spacing w:after="120"/>
        <w:ind w:left="1560" w:leftChars="0"/>
        <w:contextualSpacing w:val="0"/>
        <w:rPr>
          <w:rFonts w:ascii="Times New Roman" w:hAnsi="Times New Roman" w:cs="Times New Roman" w:eastAsiaTheme="minorEastAsia"/>
          <w:i/>
          <w:iCs w:val="0"/>
          <w:sz w:val="20"/>
          <w:szCs w:val="20"/>
        </w:rPr>
      </w:pPr>
      <w:bookmarkStart w:id="11" w:name="OLE_LINK29"/>
      <w:bookmarkStart w:id="12" w:name="OLE_LINK28"/>
      <w:r>
        <w:rPr>
          <w:rFonts w:hint="eastAsia" w:ascii="Times New Roman" w:hAnsi="Times New Roman" w:cs="Times New Roman" w:eastAsiaTheme="minorEastAsia"/>
          <w:i/>
          <w:iCs w:val="0"/>
          <w:sz w:val="20"/>
          <w:szCs w:val="20"/>
        </w:rPr>
        <w:t>Proposal</w:t>
      </w:r>
      <w:r>
        <w:rPr>
          <w:rFonts w:ascii="Times New Roman" w:hAnsi="Times New Roman" w:cs="Times New Roman" w:eastAsiaTheme="minorEastAsia"/>
          <w:i/>
          <w:iCs w:val="0"/>
          <w:sz w:val="20"/>
          <w:szCs w:val="20"/>
        </w:rPr>
        <w:t xml:space="preserve"> </w:t>
      </w:r>
      <w:r>
        <w:rPr>
          <w:rFonts w:hint="eastAsia" w:ascii="Times New Roman" w:hAnsi="Times New Roman" w:cs="Times New Roman" w:eastAsiaTheme="minorEastAsia"/>
          <w:i/>
          <w:iCs w:val="0"/>
          <w:sz w:val="20"/>
          <w:szCs w:val="20"/>
        </w:rPr>
        <w:t xml:space="preserve">1c (CMCC): </w:t>
      </w:r>
      <w:bookmarkEnd w:id="11"/>
      <w:bookmarkEnd w:id="12"/>
      <w:r>
        <w:rPr>
          <w:rFonts w:ascii="Times New Roman" w:hAnsi="Times New Roman" w:cs="Times New Roman"/>
          <w:bCs/>
          <w:i/>
          <w:iCs w:val="0"/>
          <w:sz w:val="20"/>
          <w:szCs w:val="20"/>
        </w:rPr>
        <w:t xml:space="preserve">For CG-SDT TA validation, define the requirement based on </w:t>
      </w:r>
      <w:r>
        <w:rPr>
          <w:rFonts w:ascii="Times New Roman" w:hAnsi="Times New Roman" w:cs="Times New Roman"/>
          <w:bCs/>
          <w:i/>
          <w:iCs w:val="0"/>
          <w:kern w:val="2"/>
          <w:sz w:val="20"/>
          <w:szCs w:val="20"/>
        </w:rPr>
        <w:t xml:space="preserve">cg-SDT-timeAlignmentTimer and valid values for </w:t>
      </w:r>
      <m:oMath>
        <m:sSub>
          <m:sSubPr>
            <m:ctrlPr>
              <w:rPr>
                <w:rFonts w:ascii="Cambria Math" w:hAnsi="Cambria Math" w:eastAsia="Times New Roman" w:cs="Times New Roman"/>
                <w:bCs/>
                <w:i/>
                <w:iCs w:val="0"/>
                <w:sz w:val="20"/>
                <w:szCs w:val="20"/>
              </w:rPr>
            </m:ctrlPr>
          </m:sSubPr>
          <m:e>
            <m:r>
              <m:rPr/>
              <w:rPr>
                <w:rFonts w:hint="default" w:ascii="Cambria Math" w:hAnsi="Cambria Math" w:eastAsia="Times New Roman" w:cs="Times New Roman"/>
                <w:sz w:val="20"/>
                <w:szCs w:val="20"/>
              </w:rPr>
              <m:t>N</m:t>
            </m:r>
            <m:ctrlPr>
              <w:rPr>
                <w:rFonts w:ascii="Cambria Math" w:hAnsi="Cambria Math" w:eastAsia="Times New Roman" w:cs="Times New Roman"/>
                <w:bCs/>
                <w:i/>
                <w:iCs w:val="0"/>
                <w:sz w:val="20"/>
                <w:szCs w:val="20"/>
              </w:rPr>
            </m:ctrlPr>
          </m:e>
          <m:sub>
            <m:r>
              <m:rPr>
                <m:nor/>
              </m:rPr>
              <w:rPr>
                <w:rFonts w:ascii="Cambria Math" w:hAnsi="Cambria Math" w:eastAsia="Times New Roman" w:cs="Times New Roman"/>
                <w:b w:val="0"/>
                <w:bCs/>
                <w:i/>
                <w:iCs w:val="0"/>
                <w:sz w:val="20"/>
                <w:szCs w:val="20"/>
              </w:rPr>
              <m:t>TA</m:t>
            </m:r>
            <m:ctrlPr>
              <w:rPr>
                <w:rFonts w:ascii="Cambria Math" w:hAnsi="Cambria Math" w:eastAsia="Times New Roman" w:cs="Times New Roman"/>
                <w:bCs/>
                <w:i/>
                <w:iCs w:val="0"/>
                <w:sz w:val="20"/>
                <w:szCs w:val="20"/>
              </w:rPr>
            </m:ctrlPr>
          </m:sub>
        </m:sSub>
        <m:r>
          <m:rPr/>
          <w:rPr>
            <w:rFonts w:ascii="Cambria Math" w:hAnsi="Cambria Math" w:eastAsia="Times New Roman" w:cs="Times New Roman"/>
            <w:sz w:val="20"/>
            <w:szCs w:val="20"/>
          </w:rPr>
          <m:t xml:space="preserve">, </m:t>
        </m:r>
        <m:sSub>
          <m:sSubPr>
            <m:ctrlPr>
              <w:rPr>
                <w:rFonts w:ascii="Cambria Math" w:hAnsi="Cambria Math" w:eastAsia="Times New Roman" w:cs="Times New Roman"/>
                <w:bCs/>
                <w:i/>
                <w:iCs w:val="0"/>
                <w:sz w:val="20"/>
                <w:szCs w:val="20"/>
              </w:rPr>
            </m:ctrlPr>
          </m:sSubPr>
          <m:e>
            <m:r>
              <m:rPr/>
              <w:rPr>
                <w:rFonts w:hint="default" w:ascii="Cambria Math" w:hAnsi="Cambria Math" w:eastAsia="Times New Roman" w:cs="Times New Roman"/>
                <w:sz w:val="20"/>
                <w:szCs w:val="20"/>
              </w:rPr>
              <m:t>N</m:t>
            </m:r>
            <m:ctrlPr>
              <w:rPr>
                <w:rFonts w:ascii="Cambria Math" w:hAnsi="Cambria Math" w:eastAsia="Times New Roman" w:cs="Times New Roman"/>
                <w:bCs/>
                <w:i/>
                <w:iCs w:val="0"/>
                <w:sz w:val="20"/>
                <w:szCs w:val="20"/>
              </w:rPr>
            </m:ctrlPr>
          </m:e>
          <m:sub>
            <m:r>
              <m:rPr>
                <m:nor/>
              </m:rPr>
              <w:rPr>
                <w:rFonts w:ascii="Cambria Math" w:hAnsi="Cambria Math" w:eastAsia="Times New Roman" w:cs="Times New Roman"/>
                <w:b w:val="0"/>
                <w:bCs/>
                <w:i/>
                <w:iCs w:val="0"/>
                <w:sz w:val="20"/>
                <w:szCs w:val="20"/>
              </w:rPr>
              <m:t>TA,offset</m:t>
            </m:r>
            <m:ctrlPr>
              <w:rPr>
                <w:rFonts w:ascii="Cambria Math" w:hAnsi="Cambria Math" w:eastAsia="Times New Roman" w:cs="Times New Roman"/>
                <w:bCs/>
                <w:i/>
                <w:iCs w:val="0"/>
                <w:sz w:val="20"/>
                <w:szCs w:val="20"/>
              </w:rPr>
            </m:ctrlPr>
          </m:sub>
        </m:sSub>
        <m:r>
          <m:rPr/>
          <w:rPr>
            <w:rFonts w:ascii="Cambria Math" w:hAnsi="Cambria Math" w:eastAsia="Times New Roman" w:cs="Times New Roman"/>
            <w:sz w:val="20"/>
            <w:szCs w:val="20"/>
          </w:rPr>
          <m:t xml:space="preserve">, </m:t>
        </m:r>
        <m:sSubSup>
          <m:sSubSupPr>
            <m:ctrlPr>
              <w:rPr>
                <w:rFonts w:ascii="Cambria Math" w:hAnsi="Cambria Math" w:eastAsia="Times New Roman" w:cs="Times New Roman"/>
                <w:bCs/>
                <w:i/>
                <w:iCs w:val="0"/>
                <w:sz w:val="20"/>
                <w:szCs w:val="20"/>
              </w:rPr>
            </m:ctrlPr>
          </m:sSubSupPr>
          <m:e>
            <m:r>
              <m:rPr/>
              <w:rPr>
                <w:rFonts w:hint="default" w:ascii="Cambria Math" w:hAnsi="Cambria Math" w:eastAsia="Times New Roman" w:cs="Times New Roman"/>
                <w:sz w:val="20"/>
                <w:szCs w:val="20"/>
              </w:rPr>
              <m:t>N</m:t>
            </m:r>
            <m:ctrlPr>
              <w:rPr>
                <w:rFonts w:ascii="Cambria Math" w:hAnsi="Cambria Math" w:eastAsia="Times New Roman" w:cs="Times New Roman"/>
                <w:bCs/>
                <w:i/>
                <w:iCs w:val="0"/>
                <w:sz w:val="20"/>
                <w:szCs w:val="20"/>
              </w:rPr>
            </m:ctrlPr>
          </m:e>
          <m:sub>
            <m:r>
              <m:rPr>
                <m:nor/>
              </m:rPr>
              <w:rPr>
                <w:rFonts w:ascii="Cambria Math" w:hAnsi="Cambria Math" w:eastAsia="Times New Roman" w:cs="Times New Roman"/>
                <w:b w:val="0"/>
                <w:bCs/>
                <w:i/>
                <w:iCs w:val="0"/>
                <w:sz w:val="20"/>
                <w:szCs w:val="20"/>
              </w:rPr>
              <m:t>TA,adj</m:t>
            </m:r>
            <m:ctrlPr>
              <w:rPr>
                <w:rFonts w:ascii="Cambria Math" w:hAnsi="Cambria Math" w:eastAsia="Times New Roman" w:cs="Times New Roman"/>
                <w:bCs/>
                <w:i/>
                <w:iCs w:val="0"/>
                <w:sz w:val="20"/>
                <w:szCs w:val="20"/>
              </w:rPr>
            </m:ctrlPr>
          </m:sub>
          <m:sup>
            <m:r>
              <m:rPr>
                <m:nor/>
              </m:rPr>
              <w:rPr>
                <w:rFonts w:ascii="Cambria Math" w:hAnsi="Cambria Math" w:eastAsia="Times New Roman" w:cs="Times New Roman"/>
                <w:b w:val="0"/>
                <w:bCs/>
                <w:i/>
                <w:iCs w:val="0"/>
                <w:sz w:val="20"/>
                <w:szCs w:val="20"/>
              </w:rPr>
              <m:t>common</m:t>
            </m:r>
            <m:ctrlPr>
              <w:rPr>
                <w:rFonts w:ascii="Cambria Math" w:hAnsi="Cambria Math" w:eastAsia="Times New Roman" w:cs="Times New Roman"/>
                <w:bCs/>
                <w:i/>
                <w:iCs w:val="0"/>
                <w:sz w:val="20"/>
                <w:szCs w:val="20"/>
              </w:rPr>
            </m:ctrlPr>
          </m:sup>
        </m:sSubSup>
      </m:oMath>
      <w:r>
        <w:rPr>
          <w:rFonts w:ascii="Times New Roman" w:hAnsi="Times New Roman" w:eastAsia="Yu Mincho" w:cs="Times New Roman"/>
          <w:bCs/>
          <w:i/>
          <w:iCs w:val="0"/>
          <w:sz w:val="20"/>
          <w:szCs w:val="20"/>
        </w:rPr>
        <w:t xml:space="preserve"> and </w:t>
      </w:r>
      <m:oMath>
        <m:r>
          <m:rPr/>
          <w:rPr>
            <w:rFonts w:ascii="Cambria Math" w:hAnsi="Cambria Math" w:eastAsia="Times New Roman" w:cs="Times New Roman"/>
            <w:sz w:val="20"/>
            <w:szCs w:val="20"/>
          </w:rPr>
          <m:t xml:space="preserve">  </m:t>
        </m:r>
        <m:sSubSup>
          <m:sSubSupPr>
            <m:ctrlPr>
              <w:rPr>
                <w:rFonts w:ascii="Cambria Math" w:hAnsi="Cambria Math" w:eastAsia="Times New Roman" w:cs="Times New Roman"/>
                <w:bCs/>
                <w:i/>
                <w:iCs w:val="0"/>
                <w:sz w:val="20"/>
                <w:szCs w:val="20"/>
              </w:rPr>
            </m:ctrlPr>
          </m:sSubSupPr>
          <m:e>
            <m:r>
              <m:rPr/>
              <w:rPr>
                <w:rFonts w:hint="default" w:ascii="Cambria Math" w:hAnsi="Cambria Math" w:eastAsia="Times New Roman" w:cs="Times New Roman"/>
                <w:sz w:val="20"/>
                <w:szCs w:val="20"/>
              </w:rPr>
              <m:t>N</m:t>
            </m:r>
            <m:ctrlPr>
              <w:rPr>
                <w:rFonts w:ascii="Cambria Math" w:hAnsi="Cambria Math" w:eastAsia="Times New Roman" w:cs="Times New Roman"/>
                <w:bCs/>
                <w:i/>
                <w:iCs w:val="0"/>
                <w:sz w:val="20"/>
                <w:szCs w:val="20"/>
              </w:rPr>
            </m:ctrlPr>
          </m:e>
          <m:sub>
            <m:r>
              <m:rPr>
                <m:nor/>
              </m:rPr>
              <w:rPr>
                <w:rFonts w:ascii="Cambria Math" w:hAnsi="Cambria Math" w:eastAsia="Times New Roman" w:cs="Times New Roman"/>
                <w:b w:val="0"/>
                <w:bCs/>
                <w:i/>
                <w:iCs w:val="0"/>
                <w:sz w:val="20"/>
                <w:szCs w:val="20"/>
              </w:rPr>
              <m:t>TA,adj</m:t>
            </m:r>
            <m:ctrlPr>
              <w:rPr>
                <w:rFonts w:ascii="Cambria Math" w:hAnsi="Cambria Math" w:eastAsia="Times New Roman" w:cs="Times New Roman"/>
                <w:bCs/>
                <w:i/>
                <w:iCs w:val="0"/>
                <w:sz w:val="20"/>
                <w:szCs w:val="20"/>
              </w:rPr>
            </m:ctrlPr>
          </m:sub>
          <m:sup>
            <m:r>
              <m:rPr>
                <m:nor/>
              </m:rPr>
              <w:rPr>
                <w:rFonts w:ascii="Cambria Math" w:hAnsi="Cambria Math" w:eastAsia="Times New Roman" w:cs="Times New Roman"/>
                <w:b w:val="0"/>
                <w:bCs/>
                <w:i/>
                <w:iCs w:val="0"/>
                <w:sz w:val="20"/>
                <w:szCs w:val="20"/>
              </w:rPr>
              <m:t>UE</m:t>
            </m:r>
            <m:ctrlPr>
              <w:rPr>
                <w:rFonts w:ascii="Cambria Math" w:hAnsi="Cambria Math" w:eastAsia="Times New Roman" w:cs="Times New Roman"/>
                <w:bCs/>
                <w:i/>
                <w:iCs w:val="0"/>
                <w:sz w:val="20"/>
                <w:szCs w:val="20"/>
              </w:rPr>
            </m:ctrlPr>
          </m:sup>
        </m:sSubSup>
      </m:oMath>
      <w:r>
        <w:rPr>
          <w:rFonts w:ascii="Times New Roman" w:hAnsi="Times New Roman" w:eastAsia="Times New Roman" w:cs="Times New Roman"/>
          <w:bCs/>
          <w:i/>
          <w:iCs w:val="0"/>
          <w:sz w:val="20"/>
          <w:szCs w:val="20"/>
        </w:rPr>
        <w:t xml:space="preserve"> , specific approach can refer to the PUR requirements for IOT-NTN.</w:t>
      </w:r>
    </w:p>
    <w:p w14:paraId="610B0DD9">
      <w:pPr>
        <w:numPr>
          <w:ilvl w:val="2"/>
          <w:numId w:val="6"/>
        </w:numPr>
        <w:spacing w:after="120"/>
        <w:ind w:left="1560" w:leftChars="0"/>
        <w:contextualSpacing w:val="0"/>
        <w:rPr>
          <w:rFonts w:ascii="Times New Roman" w:hAnsi="Times New Roman" w:cs="Times New Roman" w:eastAsiaTheme="minorEastAsia"/>
          <w:i/>
          <w:iCs w:val="0"/>
          <w:sz w:val="20"/>
          <w:szCs w:val="20"/>
        </w:rPr>
      </w:pPr>
      <w:r>
        <w:rPr>
          <w:rFonts w:hint="eastAsia" w:ascii="Times New Roman" w:hAnsi="Times New Roman" w:cs="Times New Roman" w:eastAsiaTheme="minorEastAsia"/>
          <w:i/>
          <w:iCs w:val="0"/>
          <w:sz w:val="20"/>
          <w:szCs w:val="20"/>
        </w:rPr>
        <w:t>Proposal</w:t>
      </w:r>
      <w:r>
        <w:rPr>
          <w:rFonts w:ascii="Times New Roman" w:hAnsi="Times New Roman" w:cs="Times New Roman" w:eastAsiaTheme="minorEastAsia"/>
          <w:i/>
          <w:iCs w:val="0"/>
          <w:sz w:val="20"/>
          <w:szCs w:val="20"/>
        </w:rPr>
        <w:t xml:space="preserve"> </w:t>
      </w:r>
      <w:r>
        <w:rPr>
          <w:rFonts w:hint="eastAsia" w:ascii="Times New Roman" w:hAnsi="Times New Roman" w:cs="Times New Roman" w:eastAsiaTheme="minorEastAsia"/>
          <w:i/>
          <w:iCs w:val="0"/>
          <w:sz w:val="20"/>
          <w:szCs w:val="20"/>
        </w:rPr>
        <w:t xml:space="preserve">1d (vivo): </w:t>
      </w:r>
      <w:r>
        <w:rPr>
          <w:rFonts w:ascii="Times New Roman" w:hAnsi="Times New Roman" w:cs="Times New Roman" w:eastAsiaTheme="minorEastAsia"/>
          <w:i/>
          <w:iCs w:val="0"/>
          <w:sz w:val="20"/>
          <w:szCs w:val="20"/>
        </w:rPr>
        <w:t>For SDT requirement in RRC_INACTIVE state for (e)RedCap NTN, RAN4 to follow the same requirements on TA validation for the PUR requirements for IoT NTN (when stable)</w:t>
      </w:r>
    </w:p>
    <w:p w14:paraId="6A3D4A9A">
      <w:pPr>
        <w:numPr>
          <w:ilvl w:val="1"/>
          <w:numId w:val="6"/>
        </w:numPr>
        <w:spacing w:after="120"/>
        <w:ind w:left="1140" w:leftChars="0"/>
        <w:contextualSpacing w:val="0"/>
        <w:rPr>
          <w:rFonts w:ascii="Times New Roman" w:hAnsi="Times New Roman" w:cs="Times New Roman" w:eastAsiaTheme="minorEastAsia"/>
          <w:i/>
          <w:iCs w:val="0"/>
          <w:sz w:val="20"/>
          <w:szCs w:val="20"/>
        </w:rPr>
      </w:pPr>
      <w:r>
        <w:rPr>
          <w:rFonts w:hint="eastAsia" w:ascii="Times New Roman" w:hAnsi="Times New Roman" w:cs="Times New Roman" w:eastAsiaTheme="minorEastAsia"/>
          <w:i/>
          <w:iCs w:val="0"/>
          <w:sz w:val="20"/>
          <w:szCs w:val="20"/>
        </w:rPr>
        <w:t>Proposal</w:t>
      </w:r>
      <w:r>
        <w:rPr>
          <w:rFonts w:ascii="Times New Roman" w:hAnsi="Times New Roman" w:cs="Times New Roman" w:eastAsiaTheme="minorEastAsia"/>
          <w:i/>
          <w:iCs w:val="0"/>
          <w:sz w:val="20"/>
          <w:szCs w:val="20"/>
        </w:rPr>
        <w:t xml:space="preserve"> </w:t>
      </w:r>
      <w:r>
        <w:rPr>
          <w:rFonts w:hint="eastAsia" w:ascii="Times New Roman" w:hAnsi="Times New Roman" w:cs="Times New Roman" w:eastAsiaTheme="minorEastAsia"/>
          <w:i/>
          <w:iCs w:val="0"/>
          <w:sz w:val="20"/>
          <w:szCs w:val="20"/>
        </w:rPr>
        <w:t>2 (ZTE): CG-SDT shall be used for RedCap UEs in NTN whatever it</w:t>
      </w:r>
      <w:r>
        <w:rPr>
          <w:rFonts w:ascii="Times New Roman" w:hAnsi="Times New Roman" w:cs="Times New Roman" w:eastAsiaTheme="minorEastAsia"/>
          <w:i/>
          <w:iCs w:val="0"/>
          <w:sz w:val="20"/>
          <w:szCs w:val="20"/>
        </w:rPr>
        <w:t>’</w:t>
      </w:r>
      <w:r>
        <w:rPr>
          <w:rFonts w:hint="eastAsia" w:ascii="Times New Roman" w:hAnsi="Times New Roman" w:cs="Times New Roman" w:eastAsiaTheme="minorEastAsia"/>
          <w:i/>
          <w:iCs w:val="0"/>
          <w:sz w:val="20"/>
          <w:szCs w:val="20"/>
        </w:rPr>
        <w:t>s the GSO or NGSO for 1Rx and 2Rx RedCap UEs, and the requirements can be:</w:t>
      </w:r>
    </w:p>
    <w:tbl>
      <w:tblPr>
        <w:tblStyle w:val="21"/>
        <w:tblW w:w="0" w:type="auto"/>
        <w:tblInd w:w="2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4961"/>
      </w:tblGrid>
      <w:tr w14:paraId="768A3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4AB73B87">
            <w:pPr>
              <w:rPr>
                <w:rFonts w:ascii="Times New Roman" w:hAnsi="Times New Roman" w:cs="Times New Roman"/>
                <w:i/>
                <w:iCs w:val="0"/>
                <w:sz w:val="18"/>
                <w:szCs w:val="20"/>
                <w:lang w:val="fr-FR"/>
              </w:rPr>
            </w:pPr>
            <w:r>
              <w:rPr>
                <w:rFonts w:ascii="Times New Roman" w:hAnsi="Times New Roman" w:cs="Times New Roman"/>
                <w:i/>
                <w:iCs w:val="0"/>
                <w:sz w:val="18"/>
                <w:szCs w:val="20"/>
                <w:lang w:val="fr-FR"/>
              </w:rPr>
              <w:t>Measurement</w:t>
            </w:r>
          </w:p>
        </w:tc>
        <w:tc>
          <w:tcPr>
            <w:tcW w:w="4961" w:type="dxa"/>
          </w:tcPr>
          <w:p w14:paraId="3AEB25F3">
            <w:pPr>
              <w:rPr>
                <w:rFonts w:ascii="Times New Roman" w:hAnsi="Times New Roman" w:cs="Times New Roman"/>
                <w:i/>
                <w:iCs w:val="0"/>
                <w:sz w:val="18"/>
                <w:szCs w:val="20"/>
                <w:lang w:val="fr-FR"/>
              </w:rPr>
            </w:pPr>
            <w:r>
              <w:rPr>
                <w:rFonts w:ascii="Times New Roman" w:hAnsi="Times New Roman" w:cs="Times New Roman"/>
                <w:i/>
                <w:iCs w:val="0"/>
                <w:sz w:val="18"/>
                <w:szCs w:val="20"/>
                <w:lang w:val="fr-FR"/>
              </w:rPr>
              <w:t>FR1</w:t>
            </w:r>
          </w:p>
        </w:tc>
      </w:tr>
      <w:tr w14:paraId="51FA4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1137816">
            <w:pPr>
              <w:rPr>
                <w:rFonts w:ascii="Times New Roman" w:hAnsi="Times New Roman" w:cs="Times New Roman"/>
                <w:i/>
                <w:iCs w:val="0"/>
                <w:sz w:val="18"/>
                <w:szCs w:val="20"/>
                <w:lang w:val="fr-FR"/>
              </w:rPr>
            </w:pPr>
            <w:r>
              <w:rPr>
                <w:rFonts w:ascii="Times New Roman" w:hAnsi="Times New Roman" w:cs="Times New Roman"/>
                <w:i/>
                <w:iCs w:val="0"/>
                <w:sz w:val="18"/>
                <w:szCs w:val="20"/>
                <w:lang w:val="fr-FR"/>
              </w:rPr>
              <w:t>RSRP</w:t>
            </w:r>
            <w:r>
              <w:rPr>
                <w:rFonts w:ascii="Times New Roman" w:hAnsi="Times New Roman" w:cs="Times New Roman"/>
                <w:i/>
                <w:iCs w:val="0"/>
                <w:sz w:val="18"/>
                <w:szCs w:val="20"/>
                <w:vertAlign w:val="subscript"/>
                <w:lang w:val="fr-FR"/>
              </w:rPr>
              <w:t>1</w:t>
            </w:r>
          </w:p>
        </w:tc>
        <w:tc>
          <w:tcPr>
            <w:tcW w:w="4961" w:type="dxa"/>
          </w:tcPr>
          <w:p w14:paraId="0BDDA885">
            <w:pPr>
              <w:rPr>
                <w:rFonts w:ascii="Times New Roman" w:hAnsi="Times New Roman" w:cs="Times New Roman"/>
                <w:i/>
                <w:iCs w:val="0"/>
                <w:sz w:val="18"/>
                <w:szCs w:val="20"/>
                <w:lang w:val="fr-FR"/>
              </w:rPr>
            </w:pPr>
            <w:r>
              <w:rPr>
                <w:rFonts w:ascii="Times New Roman" w:hAnsi="Times New Roman" w:cs="Times New Roman"/>
                <w:i/>
                <w:iCs w:val="0"/>
                <w:sz w:val="18"/>
                <w:szCs w:val="20"/>
                <w:lang w:val="fr-FR"/>
              </w:rPr>
              <w:t>(T1 – min(</w:t>
            </w:r>
            <w:r>
              <w:rPr>
                <w:rFonts w:ascii="Times New Roman" w:hAnsi="Times New Roman" w:cs="Times New Roman"/>
                <w:i/>
                <w:iCs w:val="0"/>
                <w:sz w:val="18"/>
                <w:szCs w:val="20"/>
                <w:lang w:val="sv-SE"/>
              </w:rPr>
              <w:t>800</w:t>
            </w:r>
            <w:r>
              <w:rPr>
                <w:rFonts w:ascii="Times New Roman" w:hAnsi="Times New Roman" w:cs="Times New Roman"/>
                <w:i/>
                <w:iCs w:val="0"/>
                <w:sz w:val="18"/>
                <w:szCs w:val="20"/>
                <w:lang w:val="fr-FR"/>
              </w:rPr>
              <w:t>ms, M1*T</w:t>
            </w:r>
            <w:r>
              <w:rPr>
                <w:rFonts w:ascii="Times New Roman" w:hAnsi="Times New Roman" w:cs="Times New Roman"/>
                <w:i/>
                <w:iCs w:val="0"/>
                <w:sz w:val="18"/>
                <w:szCs w:val="20"/>
                <w:vertAlign w:val="subscript"/>
                <w:lang w:val="fr-FR"/>
              </w:rPr>
              <w:t>DRX</w:t>
            </w:r>
            <w:r>
              <w:rPr>
                <w:rFonts w:ascii="Times New Roman" w:hAnsi="Times New Roman" w:cs="Times New Roman"/>
                <w:i/>
                <w:iCs w:val="0"/>
                <w:sz w:val="18"/>
                <w:szCs w:val="20"/>
                <w:lang w:val="fr-FR"/>
              </w:rPr>
              <w:t>)) ≤ T1’ ≤ (T1 + min(</w:t>
            </w:r>
            <w:r>
              <w:rPr>
                <w:rFonts w:ascii="Times New Roman" w:hAnsi="Times New Roman" w:cs="Times New Roman"/>
                <w:i/>
                <w:iCs w:val="0"/>
                <w:sz w:val="18"/>
                <w:szCs w:val="20"/>
                <w:lang w:val="sv-SE"/>
              </w:rPr>
              <w:t>800</w:t>
            </w:r>
            <w:r>
              <w:rPr>
                <w:rFonts w:ascii="Times New Roman" w:hAnsi="Times New Roman" w:cs="Times New Roman"/>
                <w:i/>
                <w:iCs w:val="0"/>
                <w:sz w:val="18"/>
                <w:szCs w:val="20"/>
                <w:lang w:val="fr-FR"/>
              </w:rPr>
              <w:t>ms, M1*T</w:t>
            </w:r>
            <w:r>
              <w:rPr>
                <w:rFonts w:ascii="Times New Roman" w:hAnsi="Times New Roman" w:cs="Times New Roman"/>
                <w:i/>
                <w:iCs w:val="0"/>
                <w:sz w:val="18"/>
                <w:szCs w:val="20"/>
                <w:vertAlign w:val="subscript"/>
                <w:lang w:val="fr-FR"/>
              </w:rPr>
              <w:t>DRX</w:t>
            </w:r>
            <w:r>
              <w:rPr>
                <w:rFonts w:ascii="Times New Roman" w:hAnsi="Times New Roman" w:cs="Times New Roman"/>
                <w:i/>
                <w:iCs w:val="0"/>
                <w:sz w:val="18"/>
                <w:szCs w:val="20"/>
                <w:lang w:val="fr-FR"/>
              </w:rPr>
              <w:t>))</w:t>
            </w:r>
          </w:p>
        </w:tc>
      </w:tr>
      <w:tr w14:paraId="2C96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DDD41D5">
            <w:pPr>
              <w:rPr>
                <w:rFonts w:ascii="Times New Roman" w:hAnsi="Times New Roman" w:cs="Times New Roman"/>
                <w:i/>
                <w:iCs w:val="0"/>
                <w:sz w:val="18"/>
                <w:szCs w:val="20"/>
                <w:lang w:val="fr-FR"/>
              </w:rPr>
            </w:pPr>
            <w:r>
              <w:rPr>
                <w:rFonts w:ascii="Times New Roman" w:hAnsi="Times New Roman" w:cs="Times New Roman"/>
                <w:i/>
                <w:iCs w:val="0"/>
                <w:sz w:val="18"/>
                <w:szCs w:val="20"/>
                <w:lang w:val="fr-FR"/>
              </w:rPr>
              <w:t>RSRP</w:t>
            </w:r>
            <w:r>
              <w:rPr>
                <w:rFonts w:ascii="Times New Roman" w:hAnsi="Times New Roman" w:cs="Times New Roman"/>
                <w:i/>
                <w:iCs w:val="0"/>
                <w:sz w:val="18"/>
                <w:szCs w:val="20"/>
                <w:vertAlign w:val="subscript"/>
                <w:lang w:val="fr-FR"/>
              </w:rPr>
              <w:t>2</w:t>
            </w:r>
          </w:p>
        </w:tc>
        <w:tc>
          <w:tcPr>
            <w:tcW w:w="4961" w:type="dxa"/>
          </w:tcPr>
          <w:p w14:paraId="05E9B5C8">
            <w:pPr>
              <w:rPr>
                <w:rFonts w:ascii="Times New Roman" w:hAnsi="Times New Roman" w:cs="Times New Roman"/>
                <w:i/>
                <w:iCs w:val="0"/>
                <w:sz w:val="18"/>
                <w:szCs w:val="20"/>
                <w:lang w:val="fr-FR"/>
              </w:rPr>
            </w:pPr>
            <w:r>
              <w:rPr>
                <w:rFonts w:ascii="Times New Roman" w:hAnsi="Times New Roman" w:cs="Times New Roman"/>
                <w:i/>
                <w:iCs w:val="0"/>
                <w:sz w:val="18"/>
                <w:szCs w:val="20"/>
                <w:lang w:val="fr-FR"/>
              </w:rPr>
              <w:t>(T2 – min(</w:t>
            </w:r>
            <w:r>
              <w:rPr>
                <w:rFonts w:ascii="Times New Roman" w:hAnsi="Times New Roman" w:cs="Times New Roman"/>
                <w:i/>
                <w:iCs w:val="0"/>
                <w:sz w:val="18"/>
                <w:szCs w:val="20"/>
                <w:lang w:val="sv-SE"/>
              </w:rPr>
              <w:t>800</w:t>
            </w:r>
            <w:r>
              <w:rPr>
                <w:rFonts w:ascii="Times New Roman" w:hAnsi="Times New Roman" w:cs="Times New Roman"/>
                <w:i/>
                <w:iCs w:val="0"/>
                <w:sz w:val="18"/>
                <w:szCs w:val="20"/>
                <w:lang w:val="fr-FR"/>
              </w:rPr>
              <w:t>ms, M1*T</w:t>
            </w:r>
            <w:r>
              <w:rPr>
                <w:rFonts w:ascii="Times New Roman" w:hAnsi="Times New Roman" w:cs="Times New Roman"/>
                <w:i/>
                <w:iCs w:val="0"/>
                <w:sz w:val="18"/>
                <w:szCs w:val="20"/>
                <w:vertAlign w:val="subscript"/>
                <w:lang w:val="fr-FR"/>
              </w:rPr>
              <w:t>DRX</w:t>
            </w:r>
            <w:r>
              <w:rPr>
                <w:rFonts w:ascii="Times New Roman" w:hAnsi="Times New Roman" w:cs="Times New Roman"/>
                <w:i/>
                <w:iCs w:val="0"/>
                <w:sz w:val="18"/>
                <w:szCs w:val="20"/>
                <w:lang w:val="fr-FR"/>
              </w:rPr>
              <w:t>)) ≤ T2’ ≤ T2</w:t>
            </w:r>
          </w:p>
        </w:tc>
      </w:tr>
      <w:tr w14:paraId="0DF2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6" w:type="dxa"/>
            <w:gridSpan w:val="2"/>
          </w:tcPr>
          <w:p w14:paraId="1602E53F">
            <w:pPr>
              <w:rPr>
                <w:rFonts w:ascii="Times New Roman" w:hAnsi="Times New Roman" w:cs="Times New Roman"/>
                <w:i/>
                <w:iCs w:val="0"/>
                <w:sz w:val="18"/>
                <w:szCs w:val="20"/>
              </w:rPr>
            </w:pPr>
            <w:r>
              <w:rPr>
                <w:rFonts w:hint="eastAsia" w:ascii="Times New Roman" w:hAnsi="Times New Roman" w:cs="Times New Roman"/>
                <w:i/>
                <w:iCs w:val="0"/>
                <w:sz w:val="18"/>
                <w:szCs w:val="20"/>
              </w:rPr>
              <w:t xml:space="preserve">Note: </w:t>
            </w:r>
            <w:r>
              <w:rPr>
                <w:rFonts w:ascii="Times New Roman" w:hAnsi="Times New Roman" w:cs="Times New Roman"/>
                <w:i/>
                <w:iCs w:val="0"/>
                <w:sz w:val="18"/>
                <w:szCs w:val="20"/>
                <w:lang w:val="en-GB"/>
              </w:rPr>
              <w:t>The UE is not required to meet the requirements for 2.56s DRX cycle length for earth-moving LEO deployment.</w:t>
            </w:r>
          </w:p>
        </w:tc>
      </w:tr>
    </w:tbl>
    <w:p w14:paraId="4FAE4475">
      <w:pPr>
        <w:spacing w:after="120"/>
        <w:rPr>
          <w:rFonts w:ascii="Times New Roman" w:hAnsi="Times New Roman" w:cs="Times New Roman" w:eastAsiaTheme="minorEastAsia"/>
          <w:i/>
          <w:iCs w:val="0"/>
          <w:sz w:val="20"/>
          <w:szCs w:val="20"/>
        </w:rPr>
      </w:pPr>
    </w:p>
    <w:p w14:paraId="025B9CA6">
      <w:pPr>
        <w:numPr>
          <w:ilvl w:val="0"/>
          <w:numId w:val="6"/>
        </w:numPr>
        <w:spacing w:after="120"/>
        <w:ind w:left="720"/>
        <w:contextualSpacing w:val="0"/>
        <w:rPr>
          <w:rFonts w:hint="eastAsia" w:ascii="Times New Roman" w:hAnsi="Times New Roman" w:eastAsia="宋体" w:cs="Times New Roman"/>
          <w:i/>
          <w:iCs w:val="0"/>
          <w:sz w:val="20"/>
          <w:szCs w:val="20"/>
          <w:lang w:val="en-US" w:eastAsia="zh-CN" w:bidi="ar-SA"/>
        </w:rPr>
      </w:pPr>
      <w:r>
        <w:rPr>
          <w:rFonts w:hint="eastAsia" w:ascii="Times New Roman" w:hAnsi="Times New Roman" w:eastAsia="宋体" w:cs="Times New Roman"/>
          <w:i/>
          <w:iCs w:val="0"/>
          <w:sz w:val="20"/>
          <w:szCs w:val="20"/>
          <w:lang w:val="en-US" w:eastAsia="zh-CN" w:bidi="ar-SA"/>
        </w:rPr>
        <w:t>For MDT requirements in RRC_IDLE and RRC_INACTIVE state</w:t>
      </w:r>
    </w:p>
    <w:p w14:paraId="19EB53D2">
      <w:pPr>
        <w:numPr>
          <w:ilvl w:val="1"/>
          <w:numId w:val="6"/>
        </w:numPr>
        <w:spacing w:after="120"/>
        <w:ind w:left="1140" w:leftChars="0"/>
        <w:contextualSpacing w:val="0"/>
        <w:rPr>
          <w:rFonts w:ascii="Times New Roman" w:hAnsi="Times New Roman" w:cs="Times New Roman"/>
          <w:i/>
          <w:iCs w:val="0"/>
          <w:sz w:val="20"/>
          <w:szCs w:val="20"/>
          <w:lang w:val="en-GB"/>
        </w:rPr>
      </w:pPr>
      <w:r>
        <w:rPr>
          <w:rFonts w:ascii="Times New Roman" w:hAnsi="Times New Roman" w:cs="Times New Roman"/>
          <w:i/>
          <w:iCs w:val="0"/>
          <w:sz w:val="20"/>
          <w:szCs w:val="20"/>
          <w:lang w:val="en-GB"/>
        </w:rPr>
        <w:t xml:space="preserve">Proposal </w:t>
      </w:r>
      <w:r>
        <w:rPr>
          <w:rFonts w:hint="eastAsia" w:ascii="Times New Roman" w:hAnsi="Times New Roman" w:cs="Times New Roman"/>
          <w:i/>
          <w:iCs w:val="0"/>
          <w:sz w:val="20"/>
          <w:szCs w:val="20"/>
          <w:lang w:val="en-GB"/>
        </w:rPr>
        <w:t xml:space="preserve">1 </w:t>
      </w:r>
      <w:r>
        <w:rPr>
          <w:rFonts w:ascii="Times New Roman" w:hAnsi="Times New Roman" w:cs="Times New Roman"/>
          <w:i/>
          <w:iCs w:val="0"/>
          <w:sz w:val="20"/>
          <w:szCs w:val="20"/>
          <w:lang w:val="en-GB"/>
        </w:rPr>
        <w:t>(</w:t>
      </w:r>
      <w:r>
        <w:rPr>
          <w:rFonts w:hint="eastAsia" w:ascii="Times New Roman" w:hAnsi="Times New Roman" w:cs="Times New Roman"/>
          <w:i/>
          <w:iCs w:val="0"/>
          <w:sz w:val="20"/>
          <w:szCs w:val="20"/>
          <w:lang w:val="en-GB"/>
        </w:rPr>
        <w:t xml:space="preserve">CATT, </w:t>
      </w:r>
      <w:r>
        <w:rPr>
          <w:rFonts w:ascii="Times New Roman" w:hAnsi="Times New Roman" w:cs="Times New Roman"/>
          <w:i/>
          <w:iCs w:val="0"/>
          <w:sz w:val="20"/>
          <w:szCs w:val="20"/>
        </w:rPr>
        <w:t>Samsung</w:t>
      </w:r>
      <w:r>
        <w:rPr>
          <w:rFonts w:hint="eastAsia" w:ascii="Times New Roman" w:hAnsi="Times New Roman" w:cs="Times New Roman"/>
          <w:i/>
          <w:iCs w:val="0"/>
          <w:sz w:val="20"/>
          <w:szCs w:val="20"/>
        </w:rPr>
        <w:t xml:space="preserve">, QC, OPPO, </w:t>
      </w:r>
      <w:r>
        <w:rPr>
          <w:rFonts w:ascii="Times New Roman" w:hAnsi="Times New Roman" w:cs="Times New Roman"/>
          <w:i/>
          <w:iCs w:val="0"/>
          <w:sz w:val="20"/>
          <w:szCs w:val="20"/>
        </w:rPr>
        <w:t>Ericsson</w:t>
      </w:r>
      <w:r>
        <w:rPr>
          <w:rFonts w:hint="eastAsia" w:ascii="Times New Roman" w:hAnsi="Times New Roman" w:cs="Times New Roman"/>
          <w:i/>
          <w:iCs w:val="0"/>
          <w:sz w:val="20"/>
          <w:szCs w:val="20"/>
        </w:rPr>
        <w:t>, vivo, HW, MTK</w:t>
      </w:r>
      <w:r>
        <w:rPr>
          <w:rFonts w:ascii="Times New Roman" w:hAnsi="Times New Roman" w:cs="Times New Roman"/>
          <w:i/>
          <w:iCs w:val="0"/>
          <w:sz w:val="20"/>
          <w:szCs w:val="20"/>
          <w:lang w:val="en-GB"/>
        </w:rPr>
        <w:t>):</w:t>
      </w:r>
      <w:r>
        <w:rPr>
          <w:rFonts w:hint="eastAsia" w:ascii="Times New Roman" w:hAnsi="Times New Roman" w:cs="Times New Roman"/>
          <w:i/>
          <w:iCs w:val="0"/>
          <w:sz w:val="20"/>
          <w:szCs w:val="20"/>
          <w:lang w:val="en-GB"/>
        </w:rPr>
        <w:t xml:space="preserve"> </w:t>
      </w:r>
    </w:p>
    <w:p w14:paraId="3C0E4629">
      <w:pPr>
        <w:numPr>
          <w:ilvl w:val="2"/>
          <w:numId w:val="6"/>
        </w:numPr>
        <w:spacing w:after="120"/>
        <w:ind w:left="1560" w:leftChars="0"/>
        <w:contextualSpacing w:val="0"/>
        <w:rPr>
          <w:rFonts w:hint="eastAsia" w:ascii="Times New Roman" w:hAnsi="Times New Roman" w:cs="Times New Roman" w:eastAsiaTheme="minorEastAsia"/>
          <w:i/>
          <w:iCs w:val="0"/>
          <w:sz w:val="20"/>
          <w:szCs w:val="20"/>
        </w:rPr>
      </w:pPr>
      <w:r>
        <w:rPr>
          <w:rFonts w:hint="eastAsia" w:ascii="Times New Roman" w:hAnsi="Times New Roman" w:cs="Times New Roman" w:eastAsiaTheme="minorEastAsia"/>
          <w:i/>
          <w:iCs w:val="0"/>
          <w:sz w:val="20"/>
          <w:szCs w:val="20"/>
        </w:rPr>
        <w:t>Do not specify Minimization of Drive Tests (MDT) requirements in RRC_IDLE state and RRC_INACTIVE state for (e)RedCap UE with FR1-NTN as the same situation for (e)RedCap UE in TN system.</w:t>
      </w:r>
    </w:p>
    <w:p w14:paraId="39541728">
      <w:pPr>
        <w:numPr>
          <w:ilvl w:val="2"/>
          <w:numId w:val="6"/>
        </w:numPr>
        <w:spacing w:after="120"/>
        <w:ind w:left="1560" w:leftChars="0"/>
        <w:contextualSpacing w:val="0"/>
        <w:rPr>
          <w:rFonts w:hint="eastAsia" w:ascii="Times New Roman" w:hAnsi="Times New Roman" w:cs="Times New Roman" w:eastAsiaTheme="minorEastAsia"/>
          <w:i/>
          <w:iCs w:val="0"/>
          <w:sz w:val="20"/>
          <w:szCs w:val="20"/>
        </w:rPr>
      </w:pPr>
      <w:r>
        <w:rPr>
          <w:rFonts w:hint="eastAsia" w:ascii="Times New Roman" w:hAnsi="Times New Roman" w:cs="Times New Roman" w:eastAsiaTheme="minorEastAsia"/>
          <w:i/>
          <w:iCs w:val="0"/>
          <w:sz w:val="20"/>
          <w:szCs w:val="20"/>
        </w:rPr>
        <w:t>Proposal 1a (CATT): Deprioritize to define.</w:t>
      </w:r>
    </w:p>
    <w:p w14:paraId="2C843897">
      <w:pPr>
        <w:numPr>
          <w:ilvl w:val="1"/>
          <w:numId w:val="6"/>
        </w:numPr>
        <w:spacing w:after="120"/>
        <w:ind w:left="1140" w:leftChars="0"/>
        <w:contextualSpacing w:val="0"/>
        <w:rPr>
          <w:rFonts w:ascii="Times New Roman" w:hAnsi="Times New Roman" w:cs="Times New Roman"/>
          <w:i/>
          <w:iCs w:val="0"/>
          <w:sz w:val="20"/>
          <w:szCs w:val="20"/>
          <w:lang w:val="en-GB"/>
        </w:rPr>
      </w:pPr>
      <w:r>
        <w:rPr>
          <w:rFonts w:ascii="Times New Roman" w:hAnsi="Times New Roman" w:cs="Times New Roman"/>
          <w:i/>
          <w:iCs w:val="0"/>
          <w:sz w:val="20"/>
          <w:szCs w:val="20"/>
          <w:lang w:val="en-GB"/>
        </w:rPr>
        <w:t xml:space="preserve">Proposal </w:t>
      </w:r>
      <w:r>
        <w:rPr>
          <w:rFonts w:hint="eastAsia" w:ascii="Times New Roman" w:hAnsi="Times New Roman" w:cs="Times New Roman"/>
          <w:i/>
          <w:iCs w:val="0"/>
          <w:sz w:val="20"/>
          <w:szCs w:val="20"/>
          <w:lang w:val="en-GB"/>
        </w:rPr>
        <w:t>2</w:t>
      </w:r>
      <w:r>
        <w:rPr>
          <w:rFonts w:ascii="Times New Roman" w:hAnsi="Times New Roman" w:cs="Times New Roman"/>
          <w:i/>
          <w:iCs w:val="0"/>
          <w:sz w:val="20"/>
          <w:szCs w:val="20"/>
          <w:lang w:val="en-GB"/>
        </w:rPr>
        <w:t xml:space="preserve"> (</w:t>
      </w:r>
      <w:r>
        <w:rPr>
          <w:rFonts w:hint="eastAsia" w:ascii="Times New Roman" w:hAnsi="Times New Roman" w:cs="Times New Roman"/>
          <w:i/>
          <w:iCs w:val="0"/>
          <w:sz w:val="20"/>
          <w:szCs w:val="20"/>
          <w:lang w:val="en-GB"/>
        </w:rPr>
        <w:t>CMCC</w:t>
      </w:r>
      <w:r>
        <w:rPr>
          <w:rFonts w:ascii="Times New Roman" w:hAnsi="Times New Roman" w:cs="Times New Roman"/>
          <w:i/>
          <w:iCs w:val="0"/>
          <w:sz w:val="20"/>
          <w:szCs w:val="20"/>
          <w:lang w:val="en-GB"/>
        </w:rPr>
        <w:t>):</w:t>
      </w:r>
      <w:r>
        <w:rPr>
          <w:rFonts w:hint="eastAsia" w:ascii="Times New Roman" w:hAnsi="Times New Roman" w:cs="Times New Roman"/>
          <w:i/>
          <w:iCs w:val="0"/>
          <w:sz w:val="20"/>
          <w:szCs w:val="20"/>
          <w:lang w:val="en-GB"/>
        </w:rPr>
        <w:t xml:space="preserve"> </w:t>
      </w:r>
    </w:p>
    <w:p w14:paraId="271052C5">
      <w:pPr>
        <w:numPr>
          <w:ilvl w:val="2"/>
          <w:numId w:val="6"/>
        </w:numPr>
        <w:spacing w:after="120"/>
        <w:ind w:left="1560" w:leftChars="0"/>
        <w:contextualSpacing w:val="0"/>
        <w:rPr>
          <w:rFonts w:hint="eastAsia" w:ascii="Times New Roman" w:hAnsi="Times New Roman" w:cs="Times New Roman" w:eastAsiaTheme="minorEastAsia"/>
          <w:i/>
          <w:iCs w:val="0"/>
          <w:sz w:val="20"/>
          <w:szCs w:val="20"/>
        </w:rPr>
      </w:pPr>
      <w:r>
        <w:rPr>
          <w:rFonts w:hint="eastAsia" w:ascii="Times New Roman" w:hAnsi="Times New Roman" w:cs="Times New Roman" w:eastAsiaTheme="minorEastAsia"/>
          <w:i/>
          <w:iCs w:val="0"/>
          <w:sz w:val="20"/>
          <w:szCs w:val="20"/>
        </w:rPr>
        <w:t>Define the MDT requirements in RRC_IDLE and RRC_INACTIVE state for Red</w:t>
      </w:r>
      <w:r>
        <w:rPr>
          <w:rFonts w:hint="eastAsia" w:ascii="Times New Roman" w:hAnsi="Times New Roman" w:cs="Times New Roman" w:eastAsiaTheme="minorEastAsia"/>
          <w:i/>
          <w:iCs w:val="0"/>
          <w:sz w:val="20"/>
          <w:szCs w:val="20"/>
          <w:lang w:val="en-US" w:eastAsia="zh-CN"/>
        </w:rPr>
        <w:t>C</w:t>
      </w:r>
      <w:r>
        <w:rPr>
          <w:rFonts w:hint="eastAsia" w:ascii="Times New Roman" w:hAnsi="Times New Roman" w:cs="Times New Roman" w:eastAsiaTheme="minorEastAsia"/>
          <w:i/>
          <w:iCs w:val="0"/>
          <w:sz w:val="20"/>
          <w:szCs w:val="20"/>
        </w:rPr>
        <w:t>ap over NTN, if the related features are supported in RAN1/2 spec.</w:t>
      </w:r>
    </w:p>
    <w:p w14:paraId="2454BC8F">
      <w:pPr>
        <w:numPr>
          <w:ilvl w:val="1"/>
          <w:numId w:val="6"/>
        </w:numPr>
        <w:spacing w:after="120"/>
        <w:ind w:left="1140" w:leftChars="0"/>
        <w:contextualSpacing w:val="0"/>
        <w:rPr>
          <w:rFonts w:ascii="Times New Roman" w:hAnsi="Times New Roman" w:cs="Times New Roman"/>
          <w:i/>
          <w:iCs w:val="0"/>
          <w:sz w:val="20"/>
          <w:szCs w:val="20"/>
          <w:lang w:val="en-GB"/>
        </w:rPr>
      </w:pPr>
      <w:r>
        <w:rPr>
          <w:rFonts w:ascii="Times New Roman" w:hAnsi="Times New Roman" w:cs="Times New Roman"/>
          <w:i/>
          <w:iCs w:val="0"/>
          <w:sz w:val="20"/>
          <w:szCs w:val="20"/>
          <w:lang w:val="en-GB"/>
        </w:rPr>
        <w:t xml:space="preserve">Proposal </w:t>
      </w:r>
      <w:r>
        <w:rPr>
          <w:rFonts w:hint="eastAsia" w:ascii="Times New Roman" w:hAnsi="Times New Roman" w:cs="Times New Roman"/>
          <w:i/>
          <w:iCs w:val="0"/>
          <w:sz w:val="20"/>
          <w:szCs w:val="20"/>
          <w:lang w:val="en-GB"/>
        </w:rPr>
        <w:t>3</w:t>
      </w:r>
      <w:r>
        <w:rPr>
          <w:rFonts w:ascii="Times New Roman" w:hAnsi="Times New Roman" w:cs="Times New Roman"/>
          <w:i/>
          <w:iCs w:val="0"/>
          <w:sz w:val="20"/>
          <w:szCs w:val="20"/>
          <w:lang w:val="en-GB"/>
        </w:rPr>
        <w:t xml:space="preserve"> (</w:t>
      </w:r>
      <w:r>
        <w:rPr>
          <w:rFonts w:hint="eastAsia" w:ascii="Times New Roman" w:hAnsi="Times New Roman" w:cs="Times New Roman"/>
          <w:i/>
          <w:iCs w:val="0"/>
          <w:sz w:val="20"/>
          <w:szCs w:val="20"/>
          <w:lang w:val="en-GB"/>
        </w:rPr>
        <w:t>ZTE</w:t>
      </w:r>
      <w:r>
        <w:rPr>
          <w:rFonts w:ascii="Times New Roman" w:hAnsi="Times New Roman" w:cs="Times New Roman"/>
          <w:i/>
          <w:iCs w:val="0"/>
          <w:sz w:val="20"/>
          <w:szCs w:val="20"/>
          <w:lang w:val="en-GB"/>
        </w:rPr>
        <w:t>):</w:t>
      </w:r>
      <w:r>
        <w:rPr>
          <w:rFonts w:hint="eastAsia" w:ascii="Times New Roman" w:hAnsi="Times New Roman" w:cs="Times New Roman"/>
          <w:i/>
          <w:iCs w:val="0"/>
          <w:sz w:val="20"/>
          <w:szCs w:val="20"/>
          <w:lang w:val="en-GB"/>
        </w:rPr>
        <w:t xml:space="preserve"> </w:t>
      </w:r>
    </w:p>
    <w:p w14:paraId="54F98D16">
      <w:pPr>
        <w:numPr>
          <w:ilvl w:val="2"/>
          <w:numId w:val="6"/>
        </w:numPr>
        <w:spacing w:after="120"/>
        <w:ind w:left="1560" w:leftChars="0"/>
        <w:contextualSpacing w:val="0"/>
        <w:rPr>
          <w:rFonts w:hint="eastAsia" w:ascii="Times New Roman" w:hAnsi="Times New Roman" w:cs="Times New Roman" w:eastAsiaTheme="minorEastAsia"/>
          <w:i/>
          <w:iCs w:val="0"/>
          <w:sz w:val="20"/>
          <w:szCs w:val="20"/>
          <w:lang w:val="en-GB"/>
        </w:rPr>
      </w:pPr>
      <w:r>
        <w:rPr>
          <w:rFonts w:hint="eastAsia" w:ascii="Times New Roman" w:hAnsi="Times New Roman" w:cs="Times New Roman" w:eastAsiaTheme="minorEastAsia"/>
          <w:i/>
          <w:iCs w:val="0"/>
          <w:sz w:val="20"/>
          <w:szCs w:val="20"/>
        </w:rPr>
        <w:t>RAN4 shall consider NTN cell size and RedCap UE capability and then decide whether to define relevant requirements.</w:t>
      </w:r>
    </w:p>
    <w:p w14:paraId="214578C2">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Regarding CG-SDT, in TN network, the procedure may rely on </w:t>
      </w:r>
      <w:r>
        <w:rPr>
          <w:rFonts w:hint="eastAsia"/>
          <w:kern w:val="2"/>
          <w:sz w:val="20"/>
          <w:szCs w:val="20"/>
          <w:lang w:val="en-US" w:eastAsia="en-US"/>
        </w:rPr>
        <w:t>TA validation based on the RSRP change criterion</w:t>
      </w:r>
      <w:r>
        <w:rPr>
          <w:rFonts w:hint="eastAsia"/>
          <w:kern w:val="2"/>
          <w:sz w:val="20"/>
          <w:szCs w:val="20"/>
          <w:lang w:val="en-US" w:eastAsia="zh-CN"/>
        </w:rPr>
        <w:t>. However, in NTN network, due to in-apparent near-far-effect, the cg-SDT-RSRP-ChangeThreshold for TA validation methodology may not valid anymore.</w:t>
      </w:r>
    </w:p>
    <w:p w14:paraId="20A771E7">
      <w:pPr>
        <w:keepNext w:val="0"/>
        <w:keepLines w:val="0"/>
        <w:pageBreakBefore w:val="0"/>
        <w:widowControl/>
        <w:tabs>
          <w:tab w:val="left" w:pos="1134"/>
        </w:tabs>
        <w:kinsoku/>
        <w:wordWrap/>
        <w:overflowPunct/>
        <w:topLinePunct w:val="0"/>
        <w:autoSpaceDE/>
        <w:autoSpaceDN/>
        <w:bidi w:val="0"/>
        <w:adjustRightInd/>
        <w:snapToGrid/>
        <w:spacing w:before="157" w:beforeLines="50" w:after="60" w:line="240" w:lineRule="auto"/>
        <w:jc w:val="both"/>
        <w:textAlignment w:val="auto"/>
        <w:rPr>
          <w:rFonts w:hint="eastAsia" w:hAnsi="Cambria Math" w:eastAsia="Times New Roman"/>
          <w:b w:val="0"/>
          <w:bCs w:val="0"/>
          <w:i w:val="0"/>
          <w:color w:val="000000"/>
          <w:sz w:val="20"/>
          <w:szCs w:val="20"/>
          <w:lang w:val="en-US" w:eastAsia="zh-CN"/>
        </w:rPr>
      </w:pPr>
      <w:r>
        <w:rPr>
          <w:rFonts w:hint="eastAsia"/>
          <w:b w:val="0"/>
          <w:bCs w:val="0"/>
          <w:kern w:val="2"/>
          <w:sz w:val="20"/>
          <w:szCs w:val="20"/>
          <w:lang w:val="en-US" w:eastAsia="zh-CN"/>
        </w:rPr>
        <w:t xml:space="preserve">Similar cases happens in IOT-NTN, at that time,  RAN4 agreed to use pur-TimeAlignmentTimer and valid values for </w:t>
      </w:r>
      <m:oMath>
        <m:sSub>
          <m:sSubPr>
            <m:ctrlPr>
              <w:rPr>
                <w:rFonts w:ascii="Cambria Math" w:hAnsi="Cambria Math" w:eastAsia="Times New Roman"/>
                <w:b w:val="0"/>
                <w:bCs w:val="0"/>
                <w:i/>
                <w:color w:val="000000"/>
                <w:sz w:val="20"/>
                <w:szCs w:val="20"/>
                <w:lang w:val="en-US" w:eastAsia="zh-CN"/>
              </w:rPr>
            </m:ctrlPr>
          </m:sSub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m:t>
            </m:r>
            <m:ctrlPr>
              <w:rPr>
                <w:rFonts w:ascii="Cambria Math" w:hAnsi="Cambria Math" w:eastAsia="Times New Roman"/>
                <w:b w:val="0"/>
                <w:bCs w:val="0"/>
                <w:i/>
                <w:color w:val="000000"/>
                <w:sz w:val="20"/>
                <w:szCs w:val="20"/>
                <w:lang w:val="en-US" w:eastAsia="zh-CN"/>
              </w:rPr>
            </m:ctrlPr>
          </m:sub>
        </m:sSub>
        <m:r>
          <m:rPr/>
          <w:rPr>
            <w:rFonts w:ascii="Cambria Math" w:hAnsi="Cambria Math" w:eastAsia="Times New Roman"/>
            <w:color w:val="000000"/>
            <w:sz w:val="20"/>
            <w:szCs w:val="20"/>
            <w:lang w:val="en-US" w:eastAsia="zh-CN"/>
          </w:rPr>
          <m:t xml:space="preserve">, </m:t>
        </m:r>
        <m:sSub>
          <m:sSubPr>
            <m:ctrlPr>
              <w:rPr>
                <w:rFonts w:ascii="Cambria Math" w:hAnsi="Cambria Math" w:eastAsia="Times New Roman"/>
                <w:b w:val="0"/>
                <w:bCs w:val="0"/>
                <w:i/>
                <w:color w:val="000000"/>
                <w:sz w:val="20"/>
                <w:szCs w:val="20"/>
                <w:lang w:val="en-US" w:eastAsia="zh-CN"/>
              </w:rPr>
            </m:ctrlPr>
          </m:sSub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TA,offset</m:t>
            </m:r>
            <m:ctrlPr>
              <w:rPr>
                <w:rFonts w:ascii="Cambria Math" w:hAnsi="Cambria Math" w:eastAsia="Times New Roman"/>
                <w:b w:val="0"/>
                <w:bCs w:val="0"/>
                <w:i/>
                <w:color w:val="000000"/>
                <w:sz w:val="20"/>
                <w:szCs w:val="20"/>
                <w:lang w:val="en-US" w:eastAsia="zh-CN"/>
              </w:rPr>
            </m:ctrlPr>
          </m:sub>
        </m:sSub>
        <m:r>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val="0"/>
                <w:bCs w:val="0"/>
                <w:i/>
                <w:color w:val="000000"/>
                <w:sz w:val="20"/>
                <w:szCs w:val="20"/>
                <w:lang w:val="en-US" w:eastAsia="zh-CN"/>
              </w:rPr>
            </m:ctrlPr>
          </m:sSubSup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TA,adj</m:t>
            </m:r>
            <m:ctrlPr>
              <w:rPr>
                <w:rFonts w:ascii="Cambria Math" w:hAnsi="Cambria Math" w:eastAsia="Times New Roman"/>
                <w:b w:val="0"/>
                <w:bCs w:val="0"/>
                <w:i/>
                <w:color w:val="000000"/>
                <w:sz w:val="20"/>
                <w:szCs w:val="20"/>
                <w:lang w:val="en-US" w:eastAsia="zh-CN"/>
              </w:rPr>
            </m:ctrlPr>
          </m:sub>
          <m:sup>
            <m:r>
              <m:rPr>
                <m:nor/>
                <m:sty m:val="p"/>
              </m:rPr>
              <w:rPr>
                <w:rFonts w:ascii="Cambria Math" w:hAnsi="Cambria Math" w:eastAsia="Times New Roman"/>
                <w:b w:val="0"/>
                <w:bCs w:val="0"/>
                <w:i w:val="0"/>
                <w:color w:val="000000"/>
                <w:sz w:val="20"/>
                <w:szCs w:val="20"/>
                <w:lang w:val="en-US" w:eastAsia="zh-CN"/>
              </w:rPr>
              <m:t>common</m:t>
            </m:r>
            <m:ctrlPr>
              <w:rPr>
                <w:rFonts w:ascii="Cambria Math" w:hAnsi="Cambria Math" w:eastAsia="Times New Roman"/>
                <w:b w:val="0"/>
                <w:bCs w:val="0"/>
                <w:i/>
                <w:color w:val="000000"/>
                <w:sz w:val="20"/>
                <w:szCs w:val="20"/>
                <w:lang w:val="en-US" w:eastAsia="zh-CN"/>
              </w:rPr>
            </m:ctrlPr>
          </m:sup>
        </m:sSubSup>
      </m:oMath>
      <w:r>
        <w:rPr>
          <w:rFonts w:eastAsia="Yu Mincho"/>
          <w:b w:val="0"/>
          <w:bCs w:val="0"/>
          <w:color w:val="000000"/>
          <w:sz w:val="20"/>
          <w:szCs w:val="20"/>
          <w:lang w:val="en-US" w:eastAsia="zh-CN"/>
        </w:rPr>
        <w:t xml:space="preserve"> and </w:t>
      </w:r>
      <m:oMath>
        <m:r>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val="0"/>
                <w:bCs w:val="0"/>
                <w:i/>
                <w:color w:val="000000"/>
                <w:sz w:val="20"/>
                <w:szCs w:val="20"/>
                <w:lang w:val="en-US" w:eastAsia="zh-CN"/>
              </w:rPr>
            </m:ctrlPr>
          </m:sSubSup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TA,adj</m:t>
            </m:r>
            <m:ctrlPr>
              <w:rPr>
                <w:rFonts w:ascii="Cambria Math" w:hAnsi="Cambria Math" w:eastAsia="Times New Roman"/>
                <w:b w:val="0"/>
                <w:bCs w:val="0"/>
                <w:i/>
                <w:color w:val="000000"/>
                <w:sz w:val="20"/>
                <w:szCs w:val="20"/>
                <w:lang w:val="en-US" w:eastAsia="zh-CN"/>
              </w:rPr>
            </m:ctrlPr>
          </m:sub>
          <m:sup>
            <m:r>
              <m:rPr>
                <m:nor/>
                <m:sty m:val="p"/>
              </m:rPr>
              <w:rPr>
                <w:rFonts w:ascii="Cambria Math" w:hAnsi="Cambria Math" w:eastAsia="Times New Roman"/>
                <w:b w:val="0"/>
                <w:bCs w:val="0"/>
                <w:i w:val="0"/>
                <w:color w:val="000000"/>
                <w:sz w:val="20"/>
                <w:szCs w:val="20"/>
                <w:lang w:val="en-US" w:eastAsia="zh-CN"/>
              </w:rPr>
              <m:t>UE</m:t>
            </m:r>
            <m:ctrlPr>
              <w:rPr>
                <w:rFonts w:ascii="Cambria Math" w:hAnsi="Cambria Math" w:eastAsia="Times New Roman"/>
                <w:b w:val="0"/>
                <w:bCs w:val="0"/>
                <w:i/>
                <w:color w:val="000000"/>
                <w:sz w:val="20"/>
                <w:szCs w:val="20"/>
                <w:lang w:val="en-US" w:eastAsia="zh-CN"/>
              </w:rPr>
            </m:ctrlPr>
          </m:sup>
        </m:sSubSup>
      </m:oMath>
      <w:r>
        <w:rPr>
          <w:rFonts w:hint="eastAsia" w:hAnsi="Cambria Math" w:eastAsia="Times New Roman"/>
          <w:b w:val="0"/>
          <w:bCs w:val="0"/>
          <w:i w:val="0"/>
          <w:color w:val="000000"/>
          <w:sz w:val="20"/>
          <w:szCs w:val="20"/>
          <w:lang w:val="en-US" w:eastAsia="zh-CN"/>
        </w:rPr>
        <w:t xml:space="preserve"> to determine the TA validation, the specification is as follows:</w:t>
      </w:r>
    </w:p>
    <w:tbl>
      <w:tblPr>
        <w:tblStyle w:val="21"/>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8"/>
      </w:tblGrid>
      <w:tr w14:paraId="4D2D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8" w:type="dxa"/>
          </w:tcPr>
          <w:p w14:paraId="3A754A63">
            <w:pPr>
              <w:overflowPunct w:val="0"/>
              <w:autoSpaceDE w:val="0"/>
              <w:autoSpaceDN w:val="0"/>
              <w:adjustRightInd w:val="0"/>
              <w:textAlignment w:val="baseline"/>
              <w:rPr>
                <w:rFonts w:eastAsia="Times New Roman"/>
                <w:iCs/>
                <w:sz w:val="20"/>
                <w:szCs w:val="20"/>
                <w:lang w:val="en-US" w:eastAsia="zh-CN"/>
              </w:rPr>
            </w:pPr>
            <w:r>
              <w:rPr>
                <w:rFonts w:eastAsia="Times New Roman"/>
                <w:iCs/>
                <w:sz w:val="20"/>
                <w:szCs w:val="20"/>
                <w:lang w:val="en-US" w:eastAsia="zh-CN"/>
              </w:rPr>
              <w:t xml:space="preserve">The UE is allowed to transmit using PUR provided that TA is valid provided that </w:t>
            </w:r>
            <w:r>
              <w:rPr>
                <w:rFonts w:eastAsia="Yu Mincho"/>
                <w:i/>
                <w:sz w:val="20"/>
                <w:szCs w:val="20"/>
              </w:rPr>
              <w:t>pur-TimeAlignmentTimer</w:t>
            </w:r>
            <w:r>
              <w:rPr>
                <w:rFonts w:eastAsia="Yu Mincho"/>
                <w:sz w:val="20"/>
                <w:szCs w:val="20"/>
              </w:rPr>
              <w:t xml:space="preserve"> is not configured or </w:t>
            </w:r>
            <w:r>
              <w:rPr>
                <w:rFonts w:eastAsia="Yu Mincho"/>
                <w:i/>
                <w:sz w:val="20"/>
                <w:szCs w:val="20"/>
              </w:rPr>
              <w:t>pur-TimeAlignmentTimer</w:t>
            </w:r>
            <w:r>
              <w:rPr>
                <w:rFonts w:eastAsia="Yu Mincho"/>
                <w:sz w:val="20"/>
                <w:szCs w:val="20"/>
              </w:rPr>
              <w:t xml:space="preserve"> is running as </w:t>
            </w:r>
            <w:r>
              <w:rPr>
                <w:rFonts w:eastAsia="Times New Roman"/>
                <w:iCs/>
                <w:sz w:val="20"/>
                <w:szCs w:val="20"/>
                <w:lang w:val="en-US" w:eastAsia="zh-CN"/>
              </w:rPr>
              <w:t>defined in [2]</w:t>
            </w:r>
          </w:p>
          <w:p w14:paraId="3FAAF03E">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hAnsi="Cambria Math" w:eastAsia="Times New Roman"/>
                <w:i w:val="0"/>
                <w:color w:val="000000"/>
                <w:vertAlign w:val="baseline"/>
                <w:lang w:val="en-US" w:eastAsia="zh-CN"/>
              </w:rPr>
            </w:pPr>
            <w:r>
              <w:rPr>
                <w:rFonts w:eastAsia="Times New Roman"/>
                <w:iCs/>
                <w:sz w:val="20"/>
                <w:szCs w:val="20"/>
                <w:lang w:val="en-US" w:eastAsia="zh-CN"/>
              </w:rPr>
              <w:t xml:space="preserve">The UE shall </w:t>
            </w:r>
            <w:r>
              <w:rPr>
                <w:rFonts w:eastAsia="Yu Mincho"/>
                <w:color w:val="000000"/>
                <w:sz w:val="20"/>
                <w:szCs w:val="20"/>
                <w:lang w:val="en-US" w:eastAsia="zh-CN"/>
              </w:rPr>
              <w:t xml:space="preserve">determine the uplink timing,  </w:t>
            </w:r>
            <m:oMath>
              <m:sSub>
                <m:sSubPr>
                  <m:ctrlPr>
                    <w:rPr>
                      <w:rFonts w:ascii="Cambria Math" w:hAnsi="Cambria Math" w:eastAsia="Times New Roman"/>
                      <w:i/>
                      <w:color w:val="000000"/>
                      <w:sz w:val="20"/>
                      <w:szCs w:val="20"/>
                      <w:lang w:val="en-US" w:eastAsia="zh-CN"/>
                    </w:rPr>
                  </m:ctrlPr>
                </m:sSubPr>
                <m:e>
                  <m:r>
                    <m:rPr>
                      <m:sty m:val="bi"/>
                    </m:rPr>
                    <w:rPr>
                      <w:rFonts w:ascii="Cambria Math" w:hAnsi="Cambria Math" w:eastAsia="Times New Roman"/>
                      <w:color w:val="000000"/>
                      <w:sz w:val="20"/>
                      <w:szCs w:val="20"/>
                      <w:lang w:val="en-US" w:eastAsia="zh-CN"/>
                    </w:rPr>
                    <m:t>T</m:t>
                  </m:r>
                  <m:ctrlPr>
                    <w:rPr>
                      <w:rFonts w:ascii="Cambria Math" w:hAnsi="Cambria Math" w:eastAsia="Times New Roman"/>
                      <w:i/>
                      <w:color w:val="000000"/>
                      <w:sz w:val="20"/>
                      <w:szCs w:val="20"/>
                      <w:lang w:val="en-US" w:eastAsia="zh-CN"/>
                    </w:rPr>
                  </m:ctrlPr>
                </m:e>
                <m:sub>
                  <m:r>
                    <m:rPr>
                      <m:nor/>
                      <m:sty m:val="p"/>
                    </m:rPr>
                    <w:rPr>
                      <w:rFonts w:eastAsia="Times New Roman"/>
                      <w:b w:val="0"/>
                      <w:i w:val="0"/>
                      <w:color w:val="000000"/>
                      <w:sz w:val="20"/>
                      <w:szCs w:val="20"/>
                      <w:lang w:val="en-US" w:eastAsia="zh-CN"/>
                    </w:rPr>
                    <m:t>TA</m:t>
                  </m:r>
                  <m:ctrlPr>
                    <w:rPr>
                      <w:rFonts w:ascii="Cambria Math" w:hAnsi="Cambria Math" w:eastAsia="Times New Roman"/>
                      <w:i/>
                      <w:color w:val="000000"/>
                      <w:sz w:val="20"/>
                      <w:szCs w:val="20"/>
                      <w:lang w:val="en-US" w:eastAsia="zh-CN"/>
                    </w:rPr>
                  </m:ctrlPr>
                </m:sub>
              </m:sSub>
            </m:oMath>
            <w:r>
              <w:rPr>
                <w:rFonts w:eastAsia="Yu Mincho"/>
                <w:color w:val="000000"/>
                <w:sz w:val="20"/>
                <w:szCs w:val="20"/>
                <w:lang w:val="en-US" w:eastAsia="zh-CN"/>
              </w:rPr>
              <w:t xml:space="preserve">, for transmitting on PUR using the valid values of </w:t>
            </w:r>
            <m:oMath>
              <m:sSub>
                <m:sSubPr>
                  <m:ctrlPr>
                    <w:rPr>
                      <w:rFonts w:ascii="Cambria Math" w:hAnsi="Cambria Math" w:eastAsia="Times New Roman"/>
                      <w:i/>
                      <w:color w:val="000000"/>
                      <w:sz w:val="20"/>
                      <w:szCs w:val="20"/>
                      <w:lang w:val="en-US" w:eastAsia="zh-CN"/>
                    </w:rPr>
                  </m:ctrlPr>
                </m:sSubPr>
                <m:e>
                  <m:r>
                    <m:rPr>
                      <m:sty m:val="bi"/>
                    </m:rPr>
                    <w:rPr>
                      <w:rFonts w:ascii="Cambria Math" w:hAnsi="Cambria Math" w:eastAsia="Times New Roman"/>
                      <w:color w:val="000000"/>
                      <w:sz w:val="20"/>
                      <w:szCs w:val="20"/>
                      <w:lang w:val="en-US" w:eastAsia="zh-CN"/>
                    </w:rPr>
                    <m:t>N</m:t>
                  </m:r>
                  <m:ctrlPr>
                    <w:rPr>
                      <w:rFonts w:ascii="Cambria Math" w:hAnsi="Cambria Math" w:eastAsia="Times New Roman"/>
                      <w:i/>
                      <w:color w:val="000000"/>
                      <w:sz w:val="20"/>
                      <w:szCs w:val="20"/>
                      <w:lang w:val="en-US" w:eastAsia="zh-CN"/>
                    </w:rPr>
                  </m:ctrlPr>
                </m:e>
                <m:sub>
                  <m:r>
                    <m:rPr>
                      <m:nor/>
                      <m:sty m:val="p"/>
                    </m:rPr>
                    <w:rPr>
                      <w:rFonts w:eastAsia="Times New Roman"/>
                      <w:b w:val="0"/>
                      <w:i w:val="0"/>
                      <w:color w:val="000000"/>
                      <w:sz w:val="20"/>
                      <w:szCs w:val="20"/>
                      <w:lang w:val="en-US" w:eastAsia="zh-CN"/>
                    </w:rPr>
                    <m:t>TA</m:t>
                  </m:r>
                  <m:ctrlPr>
                    <w:rPr>
                      <w:rFonts w:ascii="Cambria Math" w:hAnsi="Cambria Math" w:eastAsia="Times New Roman"/>
                      <w:i/>
                      <w:color w:val="000000"/>
                      <w:sz w:val="20"/>
                      <w:szCs w:val="20"/>
                      <w:lang w:val="en-US" w:eastAsia="zh-CN"/>
                    </w:rPr>
                  </m:ctrlPr>
                </m:sub>
              </m:sSub>
              <m:r>
                <m:rPr>
                  <m:sty m:val="bi"/>
                </m:rPr>
                <w:rPr>
                  <w:rFonts w:ascii="Cambria Math" w:hAnsi="Cambria Math" w:eastAsia="Times New Roman"/>
                  <w:color w:val="000000"/>
                  <w:sz w:val="20"/>
                  <w:szCs w:val="20"/>
                  <w:lang w:val="en-US" w:eastAsia="zh-CN"/>
                </w:rPr>
                <m:t xml:space="preserve">, </m:t>
              </m:r>
              <m:sSub>
                <m:sSubPr>
                  <m:ctrlPr>
                    <w:rPr>
                      <w:rFonts w:ascii="Cambria Math" w:hAnsi="Cambria Math" w:eastAsia="Times New Roman"/>
                      <w:i/>
                      <w:color w:val="000000"/>
                      <w:sz w:val="20"/>
                      <w:szCs w:val="20"/>
                      <w:lang w:val="en-US" w:eastAsia="zh-CN"/>
                    </w:rPr>
                  </m:ctrlPr>
                </m:sSubPr>
                <m:e>
                  <m:r>
                    <m:rPr>
                      <m:sty m:val="bi"/>
                    </m:rPr>
                    <w:rPr>
                      <w:rFonts w:ascii="Cambria Math" w:hAnsi="Cambria Math" w:eastAsia="Times New Roman"/>
                      <w:color w:val="000000"/>
                      <w:sz w:val="20"/>
                      <w:szCs w:val="20"/>
                      <w:lang w:val="en-US" w:eastAsia="zh-CN"/>
                    </w:rPr>
                    <m:t>N</m:t>
                  </m:r>
                  <m:ctrlPr>
                    <w:rPr>
                      <w:rFonts w:ascii="Cambria Math" w:hAnsi="Cambria Math" w:eastAsia="Times New Roman"/>
                      <w:i/>
                      <w:color w:val="000000"/>
                      <w:sz w:val="20"/>
                      <w:szCs w:val="20"/>
                      <w:lang w:val="en-US" w:eastAsia="zh-CN"/>
                    </w:rPr>
                  </m:ctrlPr>
                </m:e>
                <m:sub>
                  <m:r>
                    <m:rPr>
                      <m:nor/>
                      <m:sty m:val="p"/>
                    </m:rPr>
                    <w:rPr>
                      <w:rFonts w:eastAsia="Times New Roman"/>
                      <w:b w:val="0"/>
                      <w:i w:val="0"/>
                      <w:color w:val="000000"/>
                      <w:sz w:val="20"/>
                      <w:szCs w:val="20"/>
                      <w:lang w:val="en-US" w:eastAsia="zh-CN"/>
                    </w:rPr>
                    <m:t>TA,offset</m:t>
                  </m:r>
                  <m:ctrlPr>
                    <w:rPr>
                      <w:rFonts w:ascii="Cambria Math" w:hAnsi="Cambria Math" w:eastAsia="Times New Roman"/>
                      <w:i/>
                      <w:color w:val="000000"/>
                      <w:sz w:val="20"/>
                      <w:szCs w:val="20"/>
                      <w:lang w:val="en-US" w:eastAsia="zh-CN"/>
                    </w:rPr>
                  </m:ctrlPr>
                </m:sub>
              </m:sSub>
              <m:r>
                <m:rPr>
                  <m:sty m:val="bi"/>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i/>
                      <w:color w:val="000000"/>
                      <w:sz w:val="20"/>
                      <w:szCs w:val="20"/>
                      <w:lang w:val="en-US" w:eastAsia="zh-CN"/>
                    </w:rPr>
                  </m:ctrlPr>
                </m:sSubSupPr>
                <m:e>
                  <m:r>
                    <m:rPr>
                      <m:sty m:val="bi"/>
                    </m:rPr>
                    <w:rPr>
                      <w:rFonts w:ascii="Cambria Math" w:hAnsi="Cambria Math" w:eastAsia="Times New Roman"/>
                      <w:color w:val="000000"/>
                      <w:sz w:val="20"/>
                      <w:szCs w:val="20"/>
                      <w:lang w:val="en-US" w:eastAsia="zh-CN"/>
                    </w:rPr>
                    <m:t>N</m:t>
                  </m:r>
                  <m:ctrlPr>
                    <w:rPr>
                      <w:rFonts w:ascii="Cambria Math" w:hAnsi="Cambria Math" w:eastAsia="Times New Roman"/>
                      <w:i/>
                      <w:color w:val="000000"/>
                      <w:sz w:val="20"/>
                      <w:szCs w:val="20"/>
                      <w:lang w:val="en-US" w:eastAsia="zh-CN"/>
                    </w:rPr>
                  </m:ctrlPr>
                </m:e>
                <m:sub>
                  <m:r>
                    <m:rPr>
                      <m:nor/>
                      <m:sty m:val="p"/>
                    </m:rPr>
                    <w:rPr>
                      <w:rFonts w:eastAsia="Times New Roman"/>
                      <w:b w:val="0"/>
                      <w:i w:val="0"/>
                      <w:color w:val="000000"/>
                      <w:sz w:val="20"/>
                      <w:szCs w:val="20"/>
                      <w:lang w:val="en-US" w:eastAsia="zh-CN"/>
                    </w:rPr>
                    <m:t>TA,adj</m:t>
                  </m:r>
                  <m:ctrlPr>
                    <w:rPr>
                      <w:rFonts w:ascii="Cambria Math" w:hAnsi="Cambria Math" w:eastAsia="Times New Roman"/>
                      <w:i/>
                      <w:color w:val="000000"/>
                      <w:sz w:val="20"/>
                      <w:szCs w:val="20"/>
                      <w:lang w:val="en-US" w:eastAsia="zh-CN"/>
                    </w:rPr>
                  </m:ctrlPr>
                </m:sub>
                <m:sup>
                  <m:r>
                    <m:rPr>
                      <m:nor/>
                      <m:sty m:val="p"/>
                    </m:rPr>
                    <w:rPr>
                      <w:rFonts w:eastAsia="Times New Roman"/>
                      <w:b w:val="0"/>
                      <w:i w:val="0"/>
                      <w:color w:val="000000"/>
                      <w:sz w:val="20"/>
                      <w:szCs w:val="20"/>
                      <w:lang w:val="en-US" w:eastAsia="zh-CN"/>
                    </w:rPr>
                    <m:t>common</m:t>
                  </m:r>
                  <m:ctrlPr>
                    <w:rPr>
                      <w:rFonts w:ascii="Cambria Math" w:hAnsi="Cambria Math" w:eastAsia="Times New Roman"/>
                      <w:i/>
                      <w:color w:val="000000"/>
                      <w:sz w:val="20"/>
                      <w:szCs w:val="20"/>
                      <w:lang w:val="en-US" w:eastAsia="zh-CN"/>
                    </w:rPr>
                  </m:ctrlPr>
                </m:sup>
              </m:sSubSup>
            </m:oMath>
            <w:r>
              <w:rPr>
                <w:rFonts w:eastAsia="Yu Mincho"/>
                <w:color w:val="000000"/>
                <w:sz w:val="20"/>
                <w:szCs w:val="20"/>
                <w:lang w:val="en-US" w:eastAsia="zh-CN"/>
              </w:rPr>
              <w:t xml:space="preserve"> and </w:t>
            </w:r>
            <m:oMath>
              <m:r>
                <m:rPr>
                  <m:sty m:val="bi"/>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i/>
                      <w:color w:val="000000"/>
                      <w:sz w:val="20"/>
                      <w:szCs w:val="20"/>
                      <w:lang w:val="en-US" w:eastAsia="zh-CN"/>
                    </w:rPr>
                  </m:ctrlPr>
                </m:sSubSupPr>
                <m:e>
                  <m:r>
                    <m:rPr>
                      <m:sty m:val="bi"/>
                    </m:rPr>
                    <w:rPr>
                      <w:rFonts w:ascii="Cambria Math" w:hAnsi="Cambria Math" w:eastAsia="Times New Roman"/>
                      <w:color w:val="000000"/>
                      <w:sz w:val="20"/>
                      <w:szCs w:val="20"/>
                      <w:lang w:val="en-US" w:eastAsia="zh-CN"/>
                    </w:rPr>
                    <m:t>N</m:t>
                  </m:r>
                  <m:ctrlPr>
                    <w:rPr>
                      <w:rFonts w:ascii="Cambria Math" w:hAnsi="Cambria Math" w:eastAsia="Times New Roman"/>
                      <w:i/>
                      <w:color w:val="000000"/>
                      <w:sz w:val="20"/>
                      <w:szCs w:val="20"/>
                      <w:lang w:val="en-US" w:eastAsia="zh-CN"/>
                    </w:rPr>
                  </m:ctrlPr>
                </m:e>
                <m:sub>
                  <m:r>
                    <m:rPr>
                      <m:nor/>
                      <m:sty m:val="p"/>
                    </m:rPr>
                    <w:rPr>
                      <w:rFonts w:eastAsia="Times New Roman"/>
                      <w:b w:val="0"/>
                      <w:i w:val="0"/>
                      <w:color w:val="000000"/>
                      <w:sz w:val="20"/>
                      <w:szCs w:val="20"/>
                      <w:lang w:val="en-US" w:eastAsia="zh-CN"/>
                    </w:rPr>
                    <m:t>TA,adj</m:t>
                  </m:r>
                  <m:ctrlPr>
                    <w:rPr>
                      <w:rFonts w:ascii="Cambria Math" w:hAnsi="Cambria Math" w:eastAsia="Times New Roman"/>
                      <w:i/>
                      <w:color w:val="000000"/>
                      <w:sz w:val="20"/>
                      <w:szCs w:val="20"/>
                      <w:lang w:val="en-US" w:eastAsia="zh-CN"/>
                    </w:rPr>
                  </m:ctrlPr>
                </m:sub>
                <m:sup>
                  <m:r>
                    <m:rPr>
                      <m:nor/>
                      <m:sty m:val="p"/>
                    </m:rPr>
                    <w:rPr>
                      <w:rFonts w:eastAsia="Times New Roman"/>
                      <w:b w:val="0"/>
                      <w:i w:val="0"/>
                      <w:color w:val="000000"/>
                      <w:sz w:val="20"/>
                      <w:szCs w:val="20"/>
                      <w:lang w:val="en-US" w:eastAsia="zh-CN"/>
                    </w:rPr>
                    <m:t>UE</m:t>
                  </m:r>
                  <m:ctrlPr>
                    <w:rPr>
                      <w:rFonts w:ascii="Cambria Math" w:hAnsi="Cambria Math" w:eastAsia="Times New Roman"/>
                      <w:i/>
                      <w:color w:val="000000"/>
                      <w:sz w:val="20"/>
                      <w:szCs w:val="20"/>
                      <w:lang w:val="en-US" w:eastAsia="zh-CN"/>
                    </w:rPr>
                  </m:ctrlPr>
                </m:sup>
              </m:sSubSup>
            </m:oMath>
            <w:r>
              <w:rPr>
                <w:rFonts w:eastAsia="Yu Mincho"/>
                <w:color w:val="000000"/>
                <w:sz w:val="20"/>
                <w:szCs w:val="20"/>
                <w:lang w:val="en-US" w:eastAsia="zh-CN"/>
              </w:rPr>
              <w:t xml:space="preserve"> where </w:t>
            </w:r>
            <m:oMath>
              <m:sSub>
                <m:sSubPr>
                  <m:ctrlPr>
                    <w:rPr>
                      <w:rFonts w:ascii="Cambria Math" w:hAnsi="Cambria Math" w:eastAsia="Times New Roman"/>
                      <w:i/>
                      <w:color w:val="000000"/>
                      <w:sz w:val="20"/>
                      <w:szCs w:val="20"/>
                      <w:lang w:val="en-US" w:eastAsia="zh-CN"/>
                    </w:rPr>
                  </m:ctrlPr>
                </m:sSubPr>
                <m:e>
                  <m:r>
                    <m:rPr>
                      <m:sty m:val="bi"/>
                    </m:rPr>
                    <w:rPr>
                      <w:rFonts w:ascii="Cambria Math" w:hAnsi="Cambria Math" w:eastAsia="Times New Roman"/>
                      <w:color w:val="000000"/>
                      <w:sz w:val="20"/>
                      <w:szCs w:val="20"/>
                      <w:lang w:val="en-US" w:eastAsia="zh-CN"/>
                    </w:rPr>
                    <m:t>T</m:t>
                  </m:r>
                  <m:ctrlPr>
                    <w:rPr>
                      <w:rFonts w:ascii="Cambria Math" w:hAnsi="Cambria Math" w:eastAsia="Times New Roman"/>
                      <w:i/>
                      <w:color w:val="000000"/>
                      <w:sz w:val="20"/>
                      <w:szCs w:val="20"/>
                      <w:lang w:val="en-US" w:eastAsia="zh-CN"/>
                    </w:rPr>
                  </m:ctrlPr>
                </m:e>
                <m:sub>
                  <m:r>
                    <m:rPr>
                      <m:nor/>
                      <m:sty m:val="p"/>
                    </m:rPr>
                    <w:rPr>
                      <w:rFonts w:eastAsia="Times New Roman"/>
                      <w:b w:val="0"/>
                      <w:i w:val="0"/>
                      <w:color w:val="000000"/>
                      <w:sz w:val="20"/>
                      <w:szCs w:val="20"/>
                      <w:lang w:val="en-US" w:eastAsia="zh-CN"/>
                    </w:rPr>
                    <m:t>TA</m:t>
                  </m:r>
                  <m:ctrlPr>
                    <w:rPr>
                      <w:rFonts w:ascii="Cambria Math" w:hAnsi="Cambria Math" w:eastAsia="Times New Roman"/>
                      <w:i/>
                      <w:color w:val="000000"/>
                      <w:sz w:val="20"/>
                      <w:szCs w:val="20"/>
                      <w:lang w:val="en-US" w:eastAsia="zh-CN"/>
                    </w:rPr>
                  </m:ctrlPr>
                </m:sub>
              </m:sSub>
            </m:oMath>
            <w:r>
              <w:rPr>
                <w:rFonts w:eastAsia="Yu Mincho"/>
                <w:color w:val="000000"/>
                <w:sz w:val="20"/>
                <w:szCs w:val="20"/>
                <w:lang w:val="en-US" w:eastAsia="zh-CN"/>
              </w:rPr>
              <w:t xml:space="preserve"> is defined in [16] which are the </w:t>
            </w:r>
            <w:r>
              <w:rPr>
                <w:rFonts w:eastAsia="Times New Roman"/>
                <w:iCs/>
                <w:sz w:val="20"/>
                <w:szCs w:val="20"/>
                <w:lang w:val="en-US" w:eastAsia="zh-CN"/>
              </w:rPr>
              <w:t>latest acquired values before PUR transmission.</w:t>
            </w:r>
          </w:p>
        </w:tc>
      </w:tr>
    </w:tbl>
    <w:p w14:paraId="464CB296">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hAnsi="Cambria Math" w:eastAsia="Times New Roman"/>
          <w:b w:val="0"/>
          <w:bCs w:val="0"/>
          <w:i w:val="0"/>
          <w:color w:val="000000"/>
          <w:sz w:val="20"/>
          <w:szCs w:val="20"/>
          <w:lang w:val="en-US" w:eastAsia="zh-CN"/>
        </w:rPr>
      </w:pPr>
      <w:r>
        <w:rPr>
          <w:rFonts w:hint="eastAsia"/>
          <w:b w:val="0"/>
          <w:bCs w:val="0"/>
          <w:kern w:val="2"/>
          <w:sz w:val="20"/>
          <w:szCs w:val="20"/>
          <w:lang w:val="en-US" w:eastAsia="zh-CN"/>
        </w:rPr>
        <w:t xml:space="preserve">We think similar approach can be referred for CG-SDT, that using cg-SDT-timeAlignmentTimer and valid values for </w:t>
      </w:r>
      <m:oMath>
        <m:sSub>
          <m:sSubPr>
            <m:ctrlPr>
              <w:rPr>
                <w:rFonts w:ascii="Cambria Math" w:hAnsi="Cambria Math" w:eastAsia="Times New Roman"/>
                <w:b w:val="0"/>
                <w:bCs w:val="0"/>
                <w:i/>
                <w:color w:val="000000"/>
                <w:sz w:val="20"/>
                <w:szCs w:val="20"/>
                <w:lang w:val="en-US" w:eastAsia="zh-CN"/>
              </w:rPr>
            </m:ctrlPr>
          </m:sSub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m:t>
            </m:r>
            <m:ctrlPr>
              <w:rPr>
                <w:rFonts w:ascii="Cambria Math" w:hAnsi="Cambria Math" w:eastAsia="Times New Roman"/>
                <w:b w:val="0"/>
                <w:bCs w:val="0"/>
                <w:i/>
                <w:color w:val="000000"/>
                <w:sz w:val="20"/>
                <w:szCs w:val="20"/>
                <w:lang w:val="en-US" w:eastAsia="zh-CN"/>
              </w:rPr>
            </m:ctrlPr>
          </m:sub>
        </m:sSub>
        <m:r>
          <m:rPr/>
          <w:rPr>
            <w:rFonts w:ascii="Cambria Math" w:hAnsi="Cambria Math" w:eastAsia="Times New Roman"/>
            <w:color w:val="000000"/>
            <w:sz w:val="20"/>
            <w:szCs w:val="20"/>
            <w:lang w:val="en-US" w:eastAsia="zh-CN"/>
          </w:rPr>
          <m:t xml:space="preserve">, </m:t>
        </m:r>
        <m:sSub>
          <m:sSubPr>
            <m:ctrlPr>
              <w:rPr>
                <w:rFonts w:ascii="Cambria Math" w:hAnsi="Cambria Math" w:eastAsia="Times New Roman"/>
                <w:b w:val="0"/>
                <w:bCs w:val="0"/>
                <w:i/>
                <w:color w:val="000000"/>
                <w:sz w:val="20"/>
                <w:szCs w:val="20"/>
                <w:lang w:val="en-US" w:eastAsia="zh-CN"/>
              </w:rPr>
            </m:ctrlPr>
          </m:sSub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TA,offset</m:t>
            </m:r>
            <m:ctrlPr>
              <w:rPr>
                <w:rFonts w:ascii="Cambria Math" w:hAnsi="Cambria Math" w:eastAsia="Times New Roman"/>
                <w:b w:val="0"/>
                <w:bCs w:val="0"/>
                <w:i/>
                <w:color w:val="000000"/>
                <w:sz w:val="20"/>
                <w:szCs w:val="20"/>
                <w:lang w:val="en-US" w:eastAsia="zh-CN"/>
              </w:rPr>
            </m:ctrlPr>
          </m:sub>
        </m:sSub>
        <m:r>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val="0"/>
                <w:bCs w:val="0"/>
                <w:i/>
                <w:color w:val="000000"/>
                <w:sz w:val="20"/>
                <w:szCs w:val="20"/>
                <w:lang w:val="en-US" w:eastAsia="zh-CN"/>
              </w:rPr>
            </m:ctrlPr>
          </m:sSubSup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TA,adj</m:t>
            </m:r>
            <m:ctrlPr>
              <w:rPr>
                <w:rFonts w:ascii="Cambria Math" w:hAnsi="Cambria Math" w:eastAsia="Times New Roman"/>
                <w:b w:val="0"/>
                <w:bCs w:val="0"/>
                <w:i/>
                <w:color w:val="000000"/>
                <w:sz w:val="20"/>
                <w:szCs w:val="20"/>
                <w:lang w:val="en-US" w:eastAsia="zh-CN"/>
              </w:rPr>
            </m:ctrlPr>
          </m:sub>
          <m:sup>
            <m:r>
              <m:rPr>
                <m:nor/>
                <m:sty m:val="p"/>
              </m:rPr>
              <w:rPr>
                <w:rFonts w:ascii="Cambria Math" w:hAnsi="Cambria Math" w:eastAsia="Times New Roman"/>
                <w:b w:val="0"/>
                <w:bCs w:val="0"/>
                <w:i w:val="0"/>
                <w:color w:val="000000"/>
                <w:sz w:val="20"/>
                <w:szCs w:val="20"/>
                <w:lang w:val="en-US" w:eastAsia="zh-CN"/>
              </w:rPr>
              <m:t>common</m:t>
            </m:r>
            <m:ctrlPr>
              <w:rPr>
                <w:rFonts w:ascii="Cambria Math" w:hAnsi="Cambria Math" w:eastAsia="Times New Roman"/>
                <w:b w:val="0"/>
                <w:bCs w:val="0"/>
                <w:i/>
                <w:color w:val="000000"/>
                <w:sz w:val="20"/>
                <w:szCs w:val="20"/>
                <w:lang w:val="en-US" w:eastAsia="zh-CN"/>
              </w:rPr>
            </m:ctrlPr>
          </m:sup>
        </m:sSubSup>
      </m:oMath>
      <w:r>
        <w:rPr>
          <w:rFonts w:eastAsia="Yu Mincho"/>
          <w:b w:val="0"/>
          <w:bCs w:val="0"/>
          <w:color w:val="000000"/>
          <w:sz w:val="20"/>
          <w:szCs w:val="20"/>
          <w:lang w:val="en-US" w:eastAsia="zh-CN"/>
        </w:rPr>
        <w:t xml:space="preserve"> and </w:t>
      </w:r>
      <m:oMath>
        <m:r>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val="0"/>
                <w:bCs w:val="0"/>
                <w:i/>
                <w:color w:val="000000"/>
                <w:sz w:val="20"/>
                <w:szCs w:val="20"/>
                <w:lang w:val="en-US" w:eastAsia="zh-CN"/>
              </w:rPr>
            </m:ctrlPr>
          </m:sSubSupPr>
          <m:e>
            <m:r>
              <m:rPr/>
              <w:rPr>
                <w:rFonts w:hint="default" w:ascii="Cambria Math" w:hAnsi="Cambria Math" w:eastAsia="Times New Roman"/>
                <w:color w:val="000000"/>
                <w:sz w:val="20"/>
                <w:szCs w:val="20"/>
                <w:lang w:val="en-US" w:eastAsia="zh-CN"/>
              </w:rPr>
              <m:t>N</m:t>
            </m:r>
            <m:ctrlPr>
              <w:rPr>
                <w:rFonts w:ascii="Cambria Math" w:hAnsi="Cambria Math" w:eastAsia="Times New Roman"/>
                <w:b w:val="0"/>
                <w:bCs w:val="0"/>
                <w:i/>
                <w:color w:val="000000"/>
                <w:sz w:val="20"/>
                <w:szCs w:val="20"/>
                <w:lang w:val="en-US" w:eastAsia="zh-CN"/>
              </w:rPr>
            </m:ctrlPr>
          </m:e>
          <m:sub>
            <m:r>
              <m:rPr>
                <m:nor/>
                <m:sty m:val="p"/>
              </m:rPr>
              <w:rPr>
                <w:rFonts w:ascii="Cambria Math" w:hAnsi="Cambria Math" w:eastAsia="Times New Roman"/>
                <w:b w:val="0"/>
                <w:bCs w:val="0"/>
                <w:i w:val="0"/>
                <w:color w:val="000000"/>
                <w:sz w:val="20"/>
                <w:szCs w:val="20"/>
                <w:lang w:val="en-US" w:eastAsia="zh-CN"/>
              </w:rPr>
              <m:t>TA,adj</m:t>
            </m:r>
            <m:ctrlPr>
              <w:rPr>
                <w:rFonts w:ascii="Cambria Math" w:hAnsi="Cambria Math" w:eastAsia="Times New Roman"/>
                <w:b w:val="0"/>
                <w:bCs w:val="0"/>
                <w:i/>
                <w:color w:val="000000"/>
                <w:sz w:val="20"/>
                <w:szCs w:val="20"/>
                <w:lang w:val="en-US" w:eastAsia="zh-CN"/>
              </w:rPr>
            </m:ctrlPr>
          </m:sub>
          <m:sup>
            <m:r>
              <m:rPr>
                <m:nor/>
                <m:sty m:val="p"/>
              </m:rPr>
              <w:rPr>
                <w:rFonts w:ascii="Cambria Math" w:hAnsi="Cambria Math" w:eastAsia="Times New Roman"/>
                <w:b w:val="0"/>
                <w:bCs w:val="0"/>
                <w:i w:val="0"/>
                <w:color w:val="000000"/>
                <w:sz w:val="20"/>
                <w:szCs w:val="20"/>
                <w:lang w:val="en-US" w:eastAsia="zh-CN"/>
              </w:rPr>
              <m:t>UE</m:t>
            </m:r>
            <m:ctrlPr>
              <w:rPr>
                <w:rFonts w:ascii="Cambria Math" w:hAnsi="Cambria Math" w:eastAsia="Times New Roman"/>
                <w:b w:val="0"/>
                <w:bCs w:val="0"/>
                <w:i/>
                <w:color w:val="000000"/>
                <w:sz w:val="20"/>
                <w:szCs w:val="20"/>
                <w:lang w:val="en-US" w:eastAsia="zh-CN"/>
              </w:rPr>
            </m:ctrlPr>
          </m:sup>
        </m:sSubSup>
      </m:oMath>
      <w:r>
        <w:rPr>
          <w:rFonts w:hint="eastAsia" w:hAnsi="Cambria Math" w:eastAsia="Times New Roman"/>
          <w:b w:val="0"/>
          <w:bCs w:val="0"/>
          <w:i w:val="0"/>
          <w:color w:val="000000"/>
          <w:sz w:val="20"/>
          <w:szCs w:val="20"/>
          <w:lang w:val="en-US" w:eastAsia="zh-CN"/>
        </w:rPr>
        <w:t xml:space="preserve"> to determine the TA validation.</w:t>
      </w:r>
    </w:p>
    <w:p w14:paraId="45CE9426">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eastAsia="宋体" w:cs="Times New Roman"/>
          <w:i/>
          <w:iCs/>
          <w:sz w:val="20"/>
          <w:szCs w:val="20"/>
          <w:lang w:val="en-US" w:eastAsia="zh-CN" w:bidi="ar-SA"/>
        </w:rPr>
      </w:pPr>
      <w:r>
        <w:rPr>
          <w:rFonts w:hint="eastAsia"/>
          <w:b/>
          <w:bCs/>
          <w:i/>
          <w:iCs/>
          <w:sz w:val="20"/>
          <w:szCs w:val="20"/>
          <w:lang w:val="en-US" w:eastAsia="zh-CN"/>
        </w:rPr>
        <w:t xml:space="preserve">Proposal 2: For CG-SDT TA validation, define the requirement based on </w:t>
      </w:r>
      <w:r>
        <w:rPr>
          <w:rFonts w:hint="eastAsia"/>
          <w:b/>
          <w:bCs/>
          <w:i/>
          <w:iCs/>
          <w:kern w:val="2"/>
          <w:sz w:val="20"/>
          <w:szCs w:val="20"/>
          <w:lang w:val="en-US" w:eastAsia="zh-CN"/>
        </w:rPr>
        <w:t xml:space="preserve">cg-SDT-timeAlignmentTimer and valid values for </w:t>
      </w:r>
      <m:oMath>
        <m:sSub>
          <m:sSubPr>
            <m:ctrlPr>
              <w:rPr>
                <w:rFonts w:ascii="Cambria Math" w:hAnsi="Cambria Math" w:eastAsia="Times New Roman"/>
                <w:b/>
                <w:bCs/>
                <w:i/>
                <w:iCs/>
                <w:color w:val="000000"/>
                <w:sz w:val="20"/>
                <w:szCs w:val="20"/>
                <w:lang w:val="en-US" w:eastAsia="zh-CN"/>
              </w:rPr>
            </m:ctrlPr>
          </m:sSub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m:t>
            </m:r>
            <m:ctrlPr>
              <w:rPr>
                <w:rFonts w:ascii="Cambria Math" w:hAnsi="Cambria Math" w:eastAsia="Times New Roman"/>
                <w:b/>
                <w:bCs/>
                <w:i/>
                <w:iCs/>
                <w:color w:val="000000"/>
                <w:sz w:val="20"/>
                <w:szCs w:val="20"/>
                <w:lang w:val="en-US" w:eastAsia="zh-CN"/>
              </w:rPr>
            </m:ctrlPr>
          </m:sub>
        </m:sSub>
        <m:r>
          <m:rPr>
            <m:sty m:val="bi"/>
          </m:rPr>
          <w:rPr>
            <w:rFonts w:ascii="Cambria Math" w:hAnsi="Cambria Math" w:eastAsia="Times New Roman"/>
            <w:color w:val="000000"/>
            <w:sz w:val="20"/>
            <w:szCs w:val="20"/>
            <w:lang w:val="en-US" w:eastAsia="zh-CN"/>
          </w:rPr>
          <m:t xml:space="preserve">, </m:t>
        </m:r>
        <m:sSub>
          <m:sSubPr>
            <m:ctrlPr>
              <w:rPr>
                <w:rFonts w:ascii="Cambria Math" w:hAnsi="Cambria Math" w:eastAsia="Times New Roman"/>
                <w:b/>
                <w:bCs/>
                <w:i/>
                <w:iCs/>
                <w:color w:val="000000"/>
                <w:sz w:val="20"/>
                <w:szCs w:val="20"/>
                <w:lang w:val="en-US" w:eastAsia="zh-CN"/>
              </w:rPr>
            </m:ctrlPr>
          </m:sSub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TA,offset</m:t>
            </m:r>
            <m:ctrlPr>
              <w:rPr>
                <w:rFonts w:ascii="Cambria Math" w:hAnsi="Cambria Math" w:eastAsia="Times New Roman"/>
                <w:b/>
                <w:bCs/>
                <w:i/>
                <w:iCs/>
                <w:color w:val="000000"/>
                <w:sz w:val="20"/>
                <w:szCs w:val="20"/>
                <w:lang w:val="en-US" w:eastAsia="zh-CN"/>
              </w:rPr>
            </m:ctrlPr>
          </m:sub>
        </m:sSub>
        <m:r>
          <m:rPr>
            <m:sty m:val="bi"/>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bCs/>
                <w:i/>
                <w:iCs/>
                <w:color w:val="000000"/>
                <w:sz w:val="20"/>
                <w:szCs w:val="20"/>
                <w:lang w:val="en-US" w:eastAsia="zh-CN"/>
              </w:rPr>
            </m:ctrlPr>
          </m:sSubSup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TA,adj</m:t>
            </m:r>
            <m:ctrlPr>
              <w:rPr>
                <w:rFonts w:ascii="Cambria Math" w:hAnsi="Cambria Math" w:eastAsia="Times New Roman"/>
                <w:b/>
                <w:bCs/>
                <w:i/>
                <w:iCs/>
                <w:color w:val="000000"/>
                <w:sz w:val="20"/>
                <w:szCs w:val="20"/>
                <w:lang w:val="en-US" w:eastAsia="zh-CN"/>
              </w:rPr>
            </m:ctrlPr>
          </m:sub>
          <m:sup>
            <m:r>
              <m:rPr>
                <m:nor/>
                <m:sty m:val="bi"/>
              </m:rPr>
              <w:rPr>
                <w:rFonts w:ascii="Cambria Math" w:hAnsi="Cambria Math" w:eastAsia="Times New Roman"/>
                <w:b/>
                <w:bCs/>
                <w:i/>
                <w:iCs/>
                <w:color w:val="000000"/>
                <w:sz w:val="20"/>
                <w:szCs w:val="20"/>
                <w:lang w:val="en-US" w:eastAsia="zh-CN"/>
              </w:rPr>
              <m:t>common</m:t>
            </m:r>
            <m:ctrlPr>
              <w:rPr>
                <w:rFonts w:ascii="Cambria Math" w:hAnsi="Cambria Math" w:eastAsia="Times New Roman"/>
                <w:b/>
                <w:bCs/>
                <w:i/>
                <w:iCs/>
                <w:color w:val="000000"/>
                <w:sz w:val="20"/>
                <w:szCs w:val="20"/>
                <w:lang w:val="en-US" w:eastAsia="zh-CN"/>
              </w:rPr>
            </m:ctrlPr>
          </m:sup>
        </m:sSubSup>
      </m:oMath>
      <w:r>
        <w:rPr>
          <w:rFonts w:eastAsia="Yu Mincho"/>
          <w:b/>
          <w:bCs/>
          <w:i/>
          <w:iCs/>
          <w:color w:val="000000"/>
          <w:sz w:val="20"/>
          <w:szCs w:val="20"/>
          <w:lang w:val="en-US" w:eastAsia="zh-CN"/>
        </w:rPr>
        <w:t xml:space="preserve"> and </w:t>
      </w:r>
      <m:oMath>
        <m:r>
          <m:rPr>
            <m:sty m:val="bi"/>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bCs/>
                <w:i/>
                <w:iCs/>
                <w:color w:val="000000"/>
                <w:sz w:val="20"/>
                <w:szCs w:val="20"/>
                <w:lang w:val="en-US" w:eastAsia="zh-CN"/>
              </w:rPr>
            </m:ctrlPr>
          </m:sSubSup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TA,adj</m:t>
            </m:r>
            <m:ctrlPr>
              <w:rPr>
                <w:rFonts w:ascii="Cambria Math" w:hAnsi="Cambria Math" w:eastAsia="Times New Roman"/>
                <w:b/>
                <w:bCs/>
                <w:i/>
                <w:iCs/>
                <w:color w:val="000000"/>
                <w:sz w:val="20"/>
                <w:szCs w:val="20"/>
                <w:lang w:val="en-US" w:eastAsia="zh-CN"/>
              </w:rPr>
            </m:ctrlPr>
          </m:sub>
          <m:sup>
            <m:r>
              <m:rPr>
                <m:nor/>
                <m:sty m:val="bi"/>
              </m:rPr>
              <w:rPr>
                <w:rFonts w:ascii="Cambria Math" w:hAnsi="Cambria Math" w:eastAsia="Times New Roman"/>
                <w:b/>
                <w:bCs/>
                <w:i/>
                <w:iCs/>
                <w:color w:val="000000"/>
                <w:sz w:val="20"/>
                <w:szCs w:val="20"/>
                <w:lang w:val="en-US" w:eastAsia="zh-CN"/>
              </w:rPr>
              <m:t>UE</m:t>
            </m:r>
            <m:ctrlPr>
              <w:rPr>
                <w:rFonts w:ascii="Cambria Math" w:hAnsi="Cambria Math" w:eastAsia="Times New Roman"/>
                <w:b/>
                <w:bCs/>
                <w:i/>
                <w:iCs/>
                <w:color w:val="000000"/>
                <w:sz w:val="20"/>
                <w:szCs w:val="20"/>
                <w:lang w:val="en-US" w:eastAsia="zh-CN"/>
              </w:rPr>
            </m:ctrlPr>
          </m:sup>
        </m:sSubSup>
      </m:oMath>
      <w:r>
        <w:rPr>
          <w:rFonts w:hint="eastAsia" w:hAnsi="Cambria Math" w:eastAsia="Times New Roman"/>
          <w:b/>
          <w:bCs/>
          <w:i/>
          <w:iCs/>
          <w:color w:val="000000"/>
          <w:sz w:val="20"/>
          <w:szCs w:val="20"/>
          <w:lang w:val="en-US" w:eastAsia="zh-CN"/>
        </w:rPr>
        <w:t xml:space="preserve"> , specific approach can refer to the PUR requirements for IOT-NTN.</w:t>
      </w:r>
    </w:p>
    <w:p w14:paraId="184B232F">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Regarding MDT, we think it is beneficial to support MDT capability for Redcap UE over NTN. </w:t>
      </w:r>
    </w:p>
    <w:p w14:paraId="3A05902C">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Firstly, For NTN network with large/moving cell coverage, it is barely impossible to use the traditional drive test, which requires support from both operation and testing equipment, the difficulty and cost of network optimization will increase a lot. While MDT could </w:t>
      </w:r>
      <w:r>
        <w:rPr>
          <w:rFonts w:hint="eastAsia"/>
          <w:kern w:val="2"/>
          <w:sz w:val="20"/>
          <w:szCs w:val="20"/>
          <w:lang w:val="en-GB" w:eastAsia="zh-CN"/>
        </w:rPr>
        <w:t>help network to optimize</w:t>
      </w:r>
      <w:r>
        <w:rPr>
          <w:rFonts w:hint="eastAsia"/>
          <w:kern w:val="2"/>
          <w:sz w:val="20"/>
          <w:szCs w:val="20"/>
          <w:lang w:val="en-US" w:eastAsia="zh-CN"/>
        </w:rPr>
        <w:t xml:space="preserve"> the scheduling with low cost</w:t>
      </w:r>
      <w:r>
        <w:rPr>
          <w:rFonts w:hint="eastAsia"/>
          <w:kern w:val="2"/>
          <w:sz w:val="20"/>
          <w:szCs w:val="20"/>
          <w:lang w:val="en-GB" w:eastAsia="zh-CN"/>
        </w:rPr>
        <w:t>.</w:t>
      </w:r>
      <w:r>
        <w:rPr>
          <w:rFonts w:hint="eastAsia"/>
          <w:kern w:val="2"/>
          <w:sz w:val="20"/>
          <w:szCs w:val="20"/>
          <w:lang w:val="en-US" w:eastAsia="zh-CN"/>
        </w:rPr>
        <w:t xml:space="preserve"> </w:t>
      </w:r>
    </w:p>
    <w:p w14:paraId="36B11572">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Secondly, the link performance seen between handheld UE and Redcap UE may be different, especially for 1Rx Redcap and HD-FDD Redcap. Therefore, although NTN network has already have MDT report from handheld UE, the MDT report from Redcap UE can still provide more information to network. </w:t>
      </w:r>
    </w:p>
    <w:p w14:paraId="6AF8B5B7">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Lastly, as mentioned in the summary of last meeting, TS 38.306 states that all other feature groups or components of the feature groups as captured in TR 38.822 [24] as well as capabilities specified in this specification remain applicable for RedCap UEs same as non-RedCap UEs, unless indicated otherwise. We think the MDT can be supported for RedCap UE, but if companies have different view on this, we are open to sent LS to RAN2 to check the capability.</w:t>
      </w:r>
    </w:p>
    <w:p w14:paraId="0B91937B">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default"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Define the MDT requirements i</w:t>
      </w:r>
      <w:r>
        <w:rPr>
          <w:rFonts w:hint="eastAsia"/>
          <w:b/>
          <w:bCs/>
          <w:i/>
          <w:iCs/>
          <w:sz w:val="20"/>
          <w:szCs w:val="20"/>
          <w:lang w:val="en-US" w:eastAsia="zh-CN"/>
        </w:rPr>
        <w:t xml:space="preserve">n RRC_IDLE and RRC_INACTIVE state </w:t>
      </w:r>
      <w:r>
        <w:rPr>
          <w:rFonts w:hint="eastAsia" w:eastAsia="等线"/>
          <w:b/>
          <w:bCs/>
          <w:i/>
          <w:iCs/>
          <w:sz w:val="20"/>
          <w:szCs w:val="20"/>
          <w:lang w:val="en-US" w:eastAsia="zh-CN"/>
        </w:rPr>
        <w:t>for Redcap over NTN.</w:t>
      </w:r>
    </w:p>
    <w:p w14:paraId="67BAAF9E">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default" w:eastAsia="等线"/>
          <w:b/>
          <w:bCs/>
          <w:i/>
          <w:iCs/>
          <w:sz w:val="20"/>
          <w:szCs w:val="20"/>
          <w:lang w:val="en-US" w:eastAsia="zh-CN"/>
        </w:rPr>
      </w:pPr>
      <w:r>
        <w:rPr>
          <w:rFonts w:hint="eastAsia" w:eastAsia="等线"/>
          <w:b/>
          <w:bCs/>
          <w:i/>
          <w:iCs/>
          <w:sz w:val="20"/>
          <w:szCs w:val="20"/>
          <w:lang w:val="en-US" w:eastAsia="zh-CN"/>
        </w:rPr>
        <w:t>Proposal 4: If companies have different views on whether MDT can be supported for RedCap UE, LS can be sent to RAN2 to check the capability.</w:t>
      </w:r>
    </w:p>
    <w:p w14:paraId="24D2801A">
      <w:pPr>
        <w:outlineLvl w:val="9"/>
        <w:rPr>
          <w:rFonts w:hint="eastAsia"/>
          <w:b/>
          <w:i/>
          <w:iCs/>
          <w:sz w:val="20"/>
          <w:szCs w:val="20"/>
          <w:highlight w:val="none"/>
          <w:u w:val="single"/>
          <w:lang w:val="en-US" w:eastAsia="ko-KR"/>
        </w:rPr>
      </w:pPr>
    </w:p>
    <w:p w14:paraId="3F791297">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1-2-1: Relaxed measurement</w:t>
      </w:r>
    </w:p>
    <w:p w14:paraId="1EAE0D89">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&lt; Agreement &gt;:</w:t>
      </w:r>
    </w:p>
    <w:p w14:paraId="6103BDC1">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For supported types of relaxations for (e)RedCap UE with FR1-NTN,</w:t>
      </w:r>
    </w:p>
    <w:p w14:paraId="2B14D4E9">
      <w:pPr>
        <w:numPr>
          <w:ilvl w:val="1"/>
          <w:numId w:val="6"/>
        </w:numPr>
        <w:spacing w:after="120"/>
        <w:ind w:left="1140" w:leftChars="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Only to support R17 NR NTN relaxations in GSO (corresponding to the TN R16 relaxation) for cell re</w:t>
      </w:r>
      <w:r>
        <w:rPr>
          <w:rFonts w:hint="eastAsia" w:ascii="Times New Roman" w:hAnsi="Times New Roman" w:eastAsia="宋体" w:cs="Times New Roman"/>
          <w:i/>
          <w:iCs/>
          <w:sz w:val="20"/>
          <w:szCs w:val="20"/>
          <w:lang w:val="en-US" w:eastAsia="zh-CN" w:bidi="ar-SA"/>
        </w:rPr>
        <w:t>-</w:t>
      </w:r>
      <w:r>
        <w:rPr>
          <w:rFonts w:hint="eastAsia" w:ascii="Times New Roman" w:hAnsi="Times New Roman" w:eastAsia="宋体" w:cs="Times New Roman"/>
          <w:i/>
          <w:iCs/>
          <w:sz w:val="20"/>
          <w:szCs w:val="20"/>
          <w:lang w:val="en-US" w:eastAsia="en-US" w:bidi="ar-SA"/>
        </w:rPr>
        <w:t xml:space="preserve">selection. </w:t>
      </w:r>
    </w:p>
    <w:p w14:paraId="20DF3AD2">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RAN4 to further discuss the thresholds and specific relaxation factor.</w:t>
      </w:r>
    </w:p>
    <w:p w14:paraId="71341E10">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In last meeting, RAN4 agreed that only to support R17 NR NTN relaxations in GSO (corresponding to the TN R16 relaxation) for cell re-selection, which means only requirements of UE fulfilling low mobility criterion and/or not-at-cell edge criterion will be defined.</w:t>
      </w:r>
    </w:p>
    <w:p w14:paraId="39476707">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For the thresholds of relaxation criterion, it is up to network configuration, legacy signaling can be reused, no need to have the discussion.</w:t>
      </w:r>
    </w:p>
    <w:p w14:paraId="7B40E4FC">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For the relaxation factor, due to it is hard for network to distinguish the UE mobility state by RSRP variation, to guarantee the mobility performance, we prefer to reuse the legacy relaxation factor of TN R16 relaxation, which is 3 for UE only fulfill one of the relaxation criterion, and no requirement when both relaxation criterion are fulfilled.</w:t>
      </w:r>
    </w:p>
    <w:p w14:paraId="7AF6F2CA">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5: For the thresholds of relaxation criterion, legacy signaling can be reused, threshold value is up to network configuration.</w:t>
      </w:r>
    </w:p>
    <w:p w14:paraId="48DCEEAC">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6: Reuse the legacy relaxation factor of TN R16 relaxation, which is 3 for UE only fulfill one of the relaxation criterion, and no requirement when both relaxation criterion are fulfilled.</w:t>
      </w:r>
    </w:p>
    <w:p w14:paraId="74328564">
      <w:pPr>
        <w:outlineLvl w:val="9"/>
        <w:rPr>
          <w:rFonts w:hint="default"/>
          <w:b/>
          <w:i/>
          <w:iCs/>
          <w:sz w:val="20"/>
          <w:szCs w:val="20"/>
          <w:highlight w:val="none"/>
          <w:u w:val="single"/>
          <w:lang w:val="en-US" w:eastAsia="zh-CN"/>
        </w:rPr>
      </w:pPr>
    </w:p>
    <w:p w14:paraId="51DA1B94">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1-2-2: eDRX configuration</w:t>
      </w:r>
    </w:p>
    <w:p w14:paraId="03E0F840">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&lt; Agreement &gt;:</w:t>
      </w:r>
    </w:p>
    <w:p w14:paraId="4907F0CE">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For earth-moving LEO scenario:</w:t>
      </w:r>
    </w:p>
    <w:p w14:paraId="279406F4">
      <w:pPr>
        <w:numPr>
          <w:ilvl w:val="1"/>
          <w:numId w:val="6"/>
        </w:numPr>
        <w:spacing w:after="120"/>
        <w:ind w:left="1140" w:leftChars="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All eDRX cycle cannot be applied for RedCap/eRedCap UEs in NTN and not to define requirements for eDRX in earth-moving beam LEO scenario.</w:t>
      </w:r>
    </w:p>
    <w:p w14:paraId="361DCFC2">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For quasi-earth fixed LEO scenario:</w:t>
      </w:r>
    </w:p>
    <w:p w14:paraId="5F5D1900">
      <w:pPr>
        <w:numPr>
          <w:ilvl w:val="1"/>
          <w:numId w:val="6"/>
        </w:numPr>
        <w:spacing w:after="120"/>
        <w:ind w:left="1140" w:leftChars="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Define eDRX related requirements in RRC_Idle / RRC_Inactive mode for (e)RedCap UE with FR1-NTN.</w:t>
      </w:r>
    </w:p>
    <w:p w14:paraId="11576698">
      <w:pPr>
        <w:numPr>
          <w:ilvl w:val="2"/>
          <w:numId w:val="6"/>
        </w:numPr>
        <w:spacing w:after="120"/>
        <w:ind w:left="1560" w:leftChars="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Requirements are applicable for 2.56s and 5.12s eDRX cycle</w:t>
      </w:r>
    </w:p>
    <w:p w14:paraId="05D14F8C">
      <w:pPr>
        <w:numPr>
          <w:ilvl w:val="2"/>
          <w:numId w:val="6"/>
        </w:numPr>
        <w:spacing w:after="120"/>
        <w:ind w:left="1560" w:leftChars="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FFS for 10.24s eDRX cycle and larger than 10.24s eDRX cycle</w:t>
      </w:r>
    </w:p>
    <w:p w14:paraId="70CBF76D">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In earth-fixed LEO deployment, considering about 300s service time per satellite, requirement are applicable for up to 5.12s eDRX cycle, </w:t>
      </w:r>
      <w:r>
        <w:rPr>
          <w:sz w:val="20"/>
          <w:szCs w:val="20"/>
          <w:lang w:val="en-US"/>
        </w:rPr>
        <w:t>T</w:t>
      </w:r>
      <w:r>
        <w:rPr>
          <w:sz w:val="20"/>
          <w:szCs w:val="20"/>
          <w:vertAlign w:val="subscript"/>
          <w:lang w:val="en-US"/>
        </w:rPr>
        <w:t>detect</w:t>
      </w:r>
      <w:r>
        <w:rPr>
          <w:rFonts w:hint="eastAsia"/>
          <w:sz w:val="20"/>
          <w:szCs w:val="20"/>
          <w:vertAlign w:val="baseline"/>
          <w:lang w:val="en-US" w:eastAsia="zh-CN"/>
        </w:rPr>
        <w:t xml:space="preserve"> is </w:t>
      </w:r>
      <w:r>
        <w:rPr>
          <w:rFonts w:hint="eastAsia"/>
          <w:kern w:val="2"/>
          <w:sz w:val="20"/>
          <w:szCs w:val="20"/>
          <w:lang w:val="en-US" w:eastAsia="zh-CN"/>
        </w:rPr>
        <w:t xml:space="preserve">117.76s per carrier frequency, roughly, UE is able to evaluate whether a newly detectable intra-frequency cell meets the reselection criteria for intra-frequency or one inter-frequency carrier frequency.  </w:t>
      </w:r>
    </w:p>
    <w:p w14:paraId="2C18A7FD">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default"/>
          <w:b/>
          <w:bCs/>
          <w:i/>
          <w:iCs/>
          <w:sz w:val="20"/>
          <w:szCs w:val="20"/>
          <w:lang w:val="en-US" w:eastAsia="zh-CN"/>
        </w:rPr>
      </w:pPr>
      <w:r>
        <w:rPr>
          <w:rFonts w:hint="eastAsia"/>
          <w:b/>
          <w:bCs/>
          <w:i/>
          <w:iCs/>
          <w:sz w:val="20"/>
          <w:szCs w:val="20"/>
          <w:lang w:val="en-US" w:eastAsia="zh-CN"/>
        </w:rPr>
        <w:t>Proposal 7: For earth-fixed LEO deployment, requirements are applicable for up to 5.12s eDRX cycle.</w:t>
      </w:r>
    </w:p>
    <w:p w14:paraId="2E2F2581">
      <w:pPr>
        <w:outlineLvl w:val="9"/>
        <w:rPr>
          <w:rFonts w:hint="default"/>
          <w:b/>
          <w:i/>
          <w:iCs/>
          <w:sz w:val="20"/>
          <w:szCs w:val="20"/>
          <w:highlight w:val="none"/>
          <w:u w:val="single"/>
          <w:lang w:val="en-US" w:eastAsia="zh-CN"/>
        </w:rPr>
      </w:pPr>
    </w:p>
    <w:p w14:paraId="3824F55F">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1-2-4: Multiple SMTCs</w:t>
      </w:r>
    </w:p>
    <w:p w14:paraId="74B99294">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&lt;Agreements&gt;:</w:t>
      </w:r>
    </w:p>
    <w:p w14:paraId="554CEAC3">
      <w:pPr>
        <w:numPr>
          <w:ilvl w:val="0"/>
          <w:numId w:val="6"/>
        </w:numPr>
        <w:spacing w:after="120"/>
        <w:ind w:left="720"/>
        <w:contextualSpacing w:val="0"/>
        <w:rPr>
          <w:rFonts w:hint="eastAsia" w:ascii="Times New Roman" w:hAnsi="Times New Roman" w:eastAsia="宋体" w:cs="Times New Roman"/>
          <w:i/>
          <w:iCs/>
          <w:sz w:val="20"/>
          <w:szCs w:val="20"/>
          <w:lang w:val="en-US" w:eastAsia="ko-KR" w:bidi="ar-SA"/>
        </w:rPr>
      </w:pPr>
      <w:r>
        <w:rPr>
          <w:rFonts w:hint="eastAsia" w:ascii="Times New Roman" w:hAnsi="Times New Roman" w:eastAsia="宋体" w:cs="Times New Roman"/>
          <w:i/>
          <w:iCs/>
          <w:sz w:val="20"/>
          <w:szCs w:val="20"/>
          <w:lang w:val="en-US" w:eastAsia="zh-CN" w:bidi="ar-SA"/>
        </w:rPr>
        <w:t>RAN4 to d</w:t>
      </w:r>
      <w:r>
        <w:rPr>
          <w:rFonts w:hint="eastAsia" w:ascii="Times New Roman" w:hAnsi="Times New Roman" w:eastAsia="宋体" w:cs="Times New Roman"/>
          <w:i/>
          <w:iCs/>
          <w:sz w:val="20"/>
          <w:szCs w:val="20"/>
          <w:lang w:val="en-US" w:eastAsia="ko-KR" w:bidi="ar-SA"/>
        </w:rPr>
        <w:t>efine RRM requirements for multiple SMTC-s for a single frequency carrier for (e)RedCap UEs</w:t>
      </w:r>
      <w:r>
        <w:rPr>
          <w:rFonts w:hint="eastAsia" w:ascii="Times New Roman" w:hAnsi="Times New Roman" w:eastAsia="宋体" w:cs="Times New Roman"/>
          <w:i/>
          <w:iCs/>
          <w:sz w:val="20"/>
          <w:szCs w:val="20"/>
          <w:lang w:val="en-US" w:eastAsia="zh-CN" w:bidi="ar-SA"/>
        </w:rPr>
        <w:t>.</w:t>
      </w:r>
    </w:p>
    <w:p w14:paraId="4F9D77C4">
      <w:pPr>
        <w:numPr>
          <w:ilvl w:val="0"/>
          <w:numId w:val="6"/>
        </w:numPr>
        <w:spacing w:after="120"/>
        <w:ind w:left="720"/>
        <w:contextualSpacing w:val="0"/>
        <w:rPr>
          <w:rFonts w:hint="eastAsia" w:ascii="Times New Roman" w:hAnsi="Times New Roman" w:eastAsia="宋体" w:cs="Times New Roman"/>
          <w:i/>
          <w:iCs/>
          <w:sz w:val="20"/>
          <w:szCs w:val="20"/>
          <w:lang w:val="en-US" w:eastAsia="ko-KR" w:bidi="ar-SA"/>
        </w:rPr>
      </w:pPr>
      <w:r>
        <w:rPr>
          <w:rFonts w:hint="eastAsia" w:ascii="Times New Roman" w:hAnsi="Times New Roman" w:eastAsia="宋体" w:cs="Times New Roman"/>
          <w:i/>
          <w:iCs/>
          <w:sz w:val="20"/>
          <w:szCs w:val="20"/>
          <w:lang w:val="en-US" w:eastAsia="ko-KR" w:bidi="ar-SA"/>
        </w:rPr>
        <w:t>For whether to support parallel measurements on multiple NGSO satellites within a SMTC (Feature 25-5) for (e)RedCap UEs?</w:t>
      </w:r>
    </w:p>
    <w:p w14:paraId="1F09E66F">
      <w:pPr>
        <w:numPr>
          <w:ilvl w:val="1"/>
          <w:numId w:val="6"/>
        </w:numPr>
        <w:spacing w:after="120"/>
        <w:ind w:left="1140" w:leftChars="0"/>
        <w:contextualSpacing w:val="0"/>
        <w:rPr>
          <w:rFonts w:hint="eastAsia" w:ascii="Times New Roman" w:hAnsi="Times New Roman" w:eastAsia="宋体" w:cs="Times New Roman"/>
          <w:i/>
          <w:iCs/>
          <w:sz w:val="20"/>
          <w:szCs w:val="20"/>
          <w:lang w:val="en-US" w:eastAsia="ko-KR" w:bidi="ar-SA"/>
        </w:rPr>
      </w:pPr>
      <w:r>
        <w:rPr>
          <w:rFonts w:hint="eastAsia" w:ascii="Times New Roman" w:hAnsi="Times New Roman" w:eastAsia="宋体" w:cs="Times New Roman"/>
          <w:i/>
          <w:iCs/>
          <w:sz w:val="20"/>
          <w:szCs w:val="20"/>
          <w:lang w:val="en-US" w:eastAsia="ko-KR" w:bidi="ar-SA"/>
        </w:rPr>
        <w:t xml:space="preserve">Option </w:t>
      </w:r>
      <w:r>
        <w:rPr>
          <w:rFonts w:hint="eastAsia" w:ascii="Times New Roman" w:hAnsi="Times New Roman" w:eastAsia="宋体" w:cs="Times New Roman"/>
          <w:i/>
          <w:iCs/>
          <w:sz w:val="20"/>
          <w:szCs w:val="20"/>
          <w:lang w:val="en-US" w:eastAsia="zh-CN" w:bidi="ar-SA"/>
        </w:rPr>
        <w:t>1 (MTK, Xiaomi, Samsung, ZTE, Ericsson, LG, QC)</w:t>
      </w:r>
      <w:r>
        <w:rPr>
          <w:rFonts w:hint="eastAsia" w:ascii="Times New Roman" w:hAnsi="Times New Roman" w:eastAsia="宋体" w:cs="Times New Roman"/>
          <w:i/>
          <w:iCs/>
          <w:sz w:val="20"/>
          <w:szCs w:val="20"/>
          <w:lang w:val="en-US" w:eastAsia="ko-KR" w:bidi="ar-SA"/>
        </w:rPr>
        <w:t xml:space="preserve">: Not support </w:t>
      </w:r>
    </w:p>
    <w:p w14:paraId="4BC071B5">
      <w:pPr>
        <w:numPr>
          <w:ilvl w:val="1"/>
          <w:numId w:val="6"/>
        </w:numPr>
        <w:spacing w:after="120"/>
        <w:ind w:left="1140" w:leftChars="0"/>
        <w:contextualSpacing w:val="0"/>
        <w:rPr>
          <w:rFonts w:hint="eastAsia" w:ascii="Times New Roman" w:hAnsi="Times New Roman" w:eastAsia="宋体" w:cs="Times New Roman"/>
          <w:i/>
          <w:iCs/>
          <w:sz w:val="20"/>
          <w:szCs w:val="20"/>
          <w:lang w:val="en-US" w:eastAsia="ko-KR" w:bidi="ar-SA"/>
        </w:rPr>
      </w:pPr>
      <w:r>
        <w:rPr>
          <w:rFonts w:hint="eastAsia" w:ascii="Times New Roman" w:hAnsi="Times New Roman" w:eastAsia="宋体" w:cs="Times New Roman"/>
          <w:i/>
          <w:iCs/>
          <w:sz w:val="20"/>
          <w:szCs w:val="20"/>
          <w:lang w:val="en-US" w:eastAsia="ko-KR" w:bidi="ar-SA"/>
        </w:rPr>
        <w:t xml:space="preserve">Option </w:t>
      </w:r>
      <w:r>
        <w:rPr>
          <w:rFonts w:hint="eastAsia" w:ascii="Times New Roman" w:hAnsi="Times New Roman" w:eastAsia="宋体" w:cs="Times New Roman"/>
          <w:i/>
          <w:iCs/>
          <w:sz w:val="20"/>
          <w:szCs w:val="20"/>
          <w:lang w:val="en-US" w:eastAsia="zh-CN" w:bidi="ar-SA"/>
        </w:rPr>
        <w:t>2 (HW, Nokia)</w:t>
      </w:r>
      <w:r>
        <w:rPr>
          <w:rFonts w:hint="eastAsia" w:ascii="Times New Roman" w:hAnsi="Times New Roman" w:eastAsia="宋体" w:cs="Times New Roman"/>
          <w:i/>
          <w:iCs/>
          <w:sz w:val="20"/>
          <w:szCs w:val="20"/>
          <w:lang w:val="en-US" w:eastAsia="ko-KR" w:bidi="ar-SA"/>
        </w:rPr>
        <w:t xml:space="preserve">: </w:t>
      </w:r>
      <w:r>
        <w:rPr>
          <w:rFonts w:hint="eastAsia" w:ascii="Times New Roman" w:hAnsi="Times New Roman" w:eastAsia="宋体" w:cs="Times New Roman"/>
          <w:i/>
          <w:iCs/>
          <w:sz w:val="20"/>
          <w:szCs w:val="20"/>
          <w:lang w:val="en-US" w:eastAsia="zh-CN" w:bidi="ar-SA"/>
        </w:rPr>
        <w:t>FFS</w:t>
      </w:r>
    </w:p>
    <w:p w14:paraId="2EFE6303">
      <w:pPr>
        <w:numPr>
          <w:ilvl w:val="0"/>
          <w:numId w:val="6"/>
        </w:numPr>
        <w:spacing w:after="120"/>
        <w:ind w:left="720"/>
        <w:contextualSpacing w:val="0"/>
        <w:rPr>
          <w:rFonts w:hint="eastAsia" w:ascii="Times New Roman" w:hAnsi="Times New Roman" w:eastAsia="宋体" w:cs="Times New Roman"/>
          <w:i/>
          <w:iCs/>
          <w:sz w:val="20"/>
          <w:szCs w:val="20"/>
          <w:lang w:val="en-US" w:eastAsia="ko-KR" w:bidi="ar-SA"/>
        </w:rPr>
      </w:pPr>
      <w:r>
        <w:rPr>
          <w:rFonts w:hint="eastAsia" w:ascii="Times New Roman" w:hAnsi="Times New Roman" w:eastAsia="宋体" w:cs="Times New Roman"/>
          <w:i/>
          <w:iCs/>
          <w:sz w:val="20"/>
          <w:szCs w:val="20"/>
          <w:lang w:val="en-US" w:eastAsia="zh-CN" w:bidi="ar-SA"/>
        </w:rPr>
        <w:t xml:space="preserve">Further discuss </w:t>
      </w:r>
      <w:r>
        <w:rPr>
          <w:rFonts w:hint="eastAsia" w:ascii="Times New Roman" w:hAnsi="Times New Roman" w:eastAsia="宋体" w:cs="Times New Roman"/>
          <w:i/>
          <w:iCs/>
          <w:sz w:val="20"/>
          <w:szCs w:val="20"/>
          <w:lang w:val="en-US" w:eastAsia="ko-KR" w:bidi="ar-SA"/>
        </w:rPr>
        <w:t>the supported number of SMTCs</w:t>
      </w:r>
      <w:r>
        <w:rPr>
          <w:rFonts w:hint="eastAsia" w:ascii="Times New Roman" w:hAnsi="Times New Roman" w:eastAsia="宋体" w:cs="Times New Roman"/>
          <w:i/>
          <w:iCs/>
          <w:sz w:val="20"/>
          <w:szCs w:val="20"/>
          <w:lang w:val="en-US" w:eastAsia="zh-CN" w:bidi="ar-SA"/>
        </w:rPr>
        <w:t>, t</w:t>
      </w:r>
      <w:r>
        <w:rPr>
          <w:rFonts w:hint="eastAsia" w:ascii="Times New Roman" w:hAnsi="Times New Roman" w:eastAsia="宋体" w:cs="Times New Roman"/>
          <w:i/>
          <w:iCs/>
          <w:sz w:val="20"/>
          <w:szCs w:val="20"/>
          <w:lang w:val="en-US" w:eastAsia="ko-KR" w:bidi="ar-SA"/>
        </w:rPr>
        <w:t>he number of cells and SSB</w:t>
      </w:r>
      <w:r>
        <w:rPr>
          <w:rFonts w:hint="eastAsia" w:ascii="Times New Roman" w:hAnsi="Times New Roman" w:eastAsia="宋体" w:cs="Times New Roman"/>
          <w:i/>
          <w:iCs/>
          <w:sz w:val="20"/>
          <w:szCs w:val="20"/>
          <w:lang w:val="en-US" w:eastAsia="zh-CN" w:bidi="ar-SA"/>
        </w:rPr>
        <w:t>, t</w:t>
      </w:r>
      <w:r>
        <w:rPr>
          <w:rFonts w:hint="eastAsia" w:ascii="Times New Roman" w:hAnsi="Times New Roman" w:eastAsia="宋体" w:cs="Times New Roman"/>
          <w:i/>
          <w:iCs/>
          <w:sz w:val="20"/>
          <w:szCs w:val="20"/>
          <w:lang w:val="en-US" w:eastAsia="ko-KR" w:bidi="ar-SA"/>
        </w:rPr>
        <w:t>he number of supported satellites</w:t>
      </w:r>
      <w:r>
        <w:rPr>
          <w:rFonts w:hint="eastAsia" w:ascii="Times New Roman" w:hAnsi="Times New Roman" w:eastAsia="宋体" w:cs="Times New Roman"/>
          <w:i/>
          <w:iCs/>
          <w:sz w:val="20"/>
          <w:szCs w:val="20"/>
          <w:lang w:val="en-US" w:eastAsia="zh-CN" w:bidi="ar-SA"/>
        </w:rPr>
        <w:t>, the proximity distance between two SMTCs.</w:t>
      </w:r>
    </w:p>
    <w:p w14:paraId="6DB06E9E">
      <w:pPr>
        <w:numPr>
          <w:ilvl w:val="0"/>
          <w:numId w:val="6"/>
        </w:numPr>
        <w:spacing w:after="120"/>
        <w:ind w:left="720"/>
        <w:contextualSpacing w:val="0"/>
        <w:rPr>
          <w:rFonts w:hint="eastAsia" w:ascii="Times New Roman" w:hAnsi="Times New Roman" w:eastAsia="宋体" w:cs="Times New Roman"/>
          <w:i/>
          <w:iCs/>
          <w:sz w:val="20"/>
          <w:szCs w:val="20"/>
          <w:lang w:val="en-US" w:eastAsia="ko-KR" w:bidi="ar-SA"/>
        </w:rPr>
      </w:pPr>
      <w:r>
        <w:rPr>
          <w:rFonts w:hint="eastAsia" w:ascii="Times New Roman" w:hAnsi="Times New Roman" w:eastAsia="宋体" w:cs="Times New Roman"/>
          <w:i/>
          <w:iCs/>
          <w:sz w:val="20"/>
          <w:szCs w:val="20"/>
          <w:lang w:val="en-US" w:eastAsia="zh-CN" w:bidi="ar-SA"/>
        </w:rPr>
        <w:t xml:space="preserve">Further discuss the specific measurement requirements, i.e, whether and how to extend measurement period. </w:t>
      </w:r>
    </w:p>
    <w:p w14:paraId="48825B60">
      <w:pPr>
        <w:numPr>
          <w:ilvl w:val="0"/>
          <w:numId w:val="6"/>
        </w:numPr>
        <w:spacing w:after="120"/>
        <w:ind w:left="720"/>
        <w:contextualSpacing w:val="0"/>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zh-CN" w:bidi="ar-SA"/>
        </w:rPr>
        <w:t xml:space="preserve">Further discuss other R17 NTN UE capabilities (i.e, </w:t>
      </w:r>
      <w:r>
        <w:rPr>
          <w:rFonts w:hint="eastAsia" w:ascii="Times New Roman" w:hAnsi="Times New Roman" w:eastAsia="宋体" w:cs="Times New Roman"/>
          <w:i/>
          <w:iCs/>
          <w:sz w:val="20"/>
          <w:szCs w:val="20"/>
          <w:lang w:val="en-US" w:eastAsia="ko-KR" w:bidi="ar-SA"/>
        </w:rPr>
        <w:t>Feature</w:t>
      </w:r>
      <w:r>
        <w:rPr>
          <w:rFonts w:hint="eastAsia" w:ascii="Times New Roman" w:hAnsi="Times New Roman" w:eastAsia="宋体" w:cs="Times New Roman"/>
          <w:i/>
          <w:iCs/>
          <w:sz w:val="20"/>
          <w:szCs w:val="20"/>
          <w:lang w:val="en-US" w:eastAsia="zh-CN" w:bidi="ar-SA"/>
        </w:rPr>
        <w:t xml:space="preserve"> 25-2/25-3) related to 'in parallel'.</w:t>
      </w:r>
    </w:p>
    <w:p w14:paraId="56CF3790">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 xml:space="preserve">In R17 NTN, according to the UE capability </w:t>
      </w:r>
      <w:r>
        <w:rPr>
          <w:rFonts w:hint="eastAsia"/>
          <w:i/>
          <w:iCs/>
          <w:kern w:val="2"/>
          <w:sz w:val="20"/>
          <w:szCs w:val="20"/>
          <w:lang w:val="en-US" w:eastAsia="zh-CN"/>
        </w:rPr>
        <w:t>parallelSMTC-r17</w:t>
      </w:r>
      <w:r>
        <w:rPr>
          <w:rFonts w:hint="eastAsia"/>
          <w:i w:val="0"/>
          <w:iCs w:val="0"/>
          <w:kern w:val="2"/>
          <w:sz w:val="20"/>
          <w:szCs w:val="20"/>
          <w:lang w:val="en-US" w:eastAsia="zh-CN"/>
        </w:rPr>
        <w:t xml:space="preserve">, </w:t>
      </w:r>
      <w:r>
        <w:rPr>
          <w:rFonts w:hint="eastAsia"/>
          <w:kern w:val="2"/>
          <w:sz w:val="20"/>
          <w:szCs w:val="20"/>
          <w:lang w:val="en-US" w:eastAsia="zh-CN"/>
        </w:rPr>
        <w:t xml:space="preserve">UE is capable of performing RRM measurements in parallel on at least 2 SMTCs with different offsets and same periodicity, optionally on 4 SMTCs, which configured by </w:t>
      </w:r>
      <w:r>
        <w:rPr>
          <w:rFonts w:hint="eastAsia"/>
          <w:i/>
          <w:iCs/>
          <w:kern w:val="2"/>
          <w:sz w:val="20"/>
          <w:szCs w:val="20"/>
          <w:lang w:val="en-US" w:eastAsia="zh-CN"/>
        </w:rPr>
        <w:t>SSB-MTC4List-r17,</w:t>
      </w:r>
      <w:r>
        <w:rPr>
          <w:rFonts w:hint="eastAsia"/>
          <w:kern w:val="2"/>
          <w:sz w:val="20"/>
          <w:szCs w:val="20"/>
          <w:lang w:val="en-US" w:eastAsia="zh-CN"/>
        </w:rPr>
        <w:t xml:space="preserve"> </w:t>
      </w:r>
      <w:r>
        <w:rPr>
          <w:rFonts w:hint="eastAsia"/>
          <w:i w:val="0"/>
          <w:iCs w:val="0"/>
          <w:kern w:val="2"/>
          <w:sz w:val="20"/>
          <w:szCs w:val="20"/>
          <w:lang w:val="en-US" w:eastAsia="zh-CN"/>
        </w:rPr>
        <w:t xml:space="preserve">which means </w:t>
      </w:r>
      <w:r>
        <w:rPr>
          <w:rFonts w:hint="eastAsia"/>
          <w:kern w:val="2"/>
          <w:sz w:val="20"/>
          <w:szCs w:val="20"/>
          <w:lang w:val="en-US" w:eastAsia="zh-CN"/>
        </w:rPr>
        <w:t xml:space="preserve">UE is able to sample in </w:t>
      </w:r>
      <w:r>
        <w:rPr>
          <w:rFonts w:hint="default"/>
          <w:kern w:val="2"/>
          <w:sz w:val="20"/>
          <w:szCs w:val="20"/>
          <w:lang w:val="en-US" w:eastAsia="zh-CN"/>
        </w:rPr>
        <w:t>‘</w:t>
      </w:r>
      <w:r>
        <w:rPr>
          <w:rFonts w:hint="eastAsia"/>
          <w:kern w:val="2"/>
          <w:sz w:val="20"/>
          <w:szCs w:val="20"/>
          <w:lang w:val="en-US" w:eastAsia="zh-CN"/>
        </w:rPr>
        <w:t>2 or optional 4 SMTCs</w:t>
      </w:r>
      <w:r>
        <w:rPr>
          <w:rFonts w:hint="default"/>
          <w:kern w:val="2"/>
          <w:sz w:val="20"/>
          <w:szCs w:val="20"/>
          <w:lang w:val="en-US" w:eastAsia="zh-CN"/>
        </w:rPr>
        <w:t>’</w:t>
      </w:r>
      <w:r>
        <w:rPr>
          <w:rFonts w:hint="eastAsia"/>
          <w:kern w:val="2"/>
          <w:sz w:val="20"/>
          <w:szCs w:val="20"/>
          <w:lang w:val="en-US" w:eastAsia="zh-CN"/>
        </w:rPr>
        <w:t xml:space="preserve"> in parallel during one SMTC periodicity.</w:t>
      </w:r>
    </w:p>
    <w:p w14:paraId="78014ACC">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For Redcap over NTN, since the network scenario is unchanged, RAN4 still need to define RRM requirements for multiple SMTC-s for a single frequency carrier to guarantee at least 2 target satellites including serving LEO satellite will be monitored. However, when define the requirement, we think there are two ways corresponding to different UE capability:</w:t>
      </w:r>
    </w:p>
    <w:p w14:paraId="1983D441">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Alt1: Same as R17 NR-NTN, UE is capable of performing RRM measurements in parallel on at least 2 SMTCs with different offsets and same periodicity, optionally on 4 SMTCs. The requirements in 9.2C apply provided that the total number of measurement window offsets does not exceed the UE capability parallelSMTC-r17.</w:t>
      </w:r>
    </w:p>
    <w:p w14:paraId="03200E7D">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Alt2: UE is not capable of performing RRM measurements in parallel on multiple SMTCs. The requirements in 9.2C should be scaled by the number of SMTCs configured by the network.</w:t>
      </w:r>
    </w:p>
    <w:p w14:paraId="2738CC23">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Currently, we think Alt1 can be used for 2Rx Redcap UE, and Alt 2 can be used for 1Rx Redcap UE which capability is lower.</w:t>
      </w:r>
    </w:p>
    <w:p w14:paraId="16B1D192">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8: Define the measurement requirement by using Alt1 for 2Rx Redcap UE, Alt2 for 1Rx Redcap UE.</w:t>
      </w:r>
    </w:p>
    <w:p w14:paraId="37FA2980">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b/>
          <w:bCs/>
          <w:i/>
          <w:iCs/>
          <w:sz w:val="20"/>
          <w:szCs w:val="20"/>
          <w:lang w:val="en-US" w:eastAsia="zh-CN"/>
        </w:rPr>
      </w:pPr>
      <w:r>
        <w:rPr>
          <w:rFonts w:hint="default"/>
          <w:b/>
          <w:bCs/>
          <w:i/>
          <w:iCs/>
          <w:sz w:val="20"/>
          <w:szCs w:val="20"/>
          <w:lang w:val="en-US" w:eastAsia="zh-CN"/>
        </w:rPr>
        <w:t>Alt1: Same as R17 NR-NTN, UE is capable of performing RRM measurements in parallel on at least 2 SMTCs with different offsets and same periodicity, optionally on 4 SMTCs. The requirements in 9.2C apply provided that the total number of measurement window offsets does not exceed the UE capability parallelSMTC-r17.</w:t>
      </w:r>
    </w:p>
    <w:p w14:paraId="56BACA62">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b/>
          <w:bCs/>
          <w:i/>
          <w:iCs/>
          <w:sz w:val="20"/>
          <w:szCs w:val="20"/>
          <w:lang w:val="en-US" w:eastAsia="zh-CN"/>
        </w:rPr>
      </w:pPr>
      <w:r>
        <w:rPr>
          <w:rFonts w:hint="default"/>
          <w:b/>
          <w:bCs/>
          <w:i/>
          <w:iCs/>
          <w:sz w:val="20"/>
          <w:szCs w:val="20"/>
          <w:lang w:val="en-US" w:eastAsia="zh-CN"/>
        </w:rPr>
        <w:t xml:space="preserve">Alt2: UE is not capable of performing RRM measurements in parallel on multiple SMTCs. The requirements in 9.2C should be scaled by the number of </w:t>
      </w:r>
      <w:r>
        <w:rPr>
          <w:rFonts w:hint="eastAsia"/>
          <w:b/>
          <w:bCs/>
          <w:i/>
          <w:iCs/>
          <w:sz w:val="20"/>
          <w:szCs w:val="20"/>
          <w:lang w:val="en-US" w:eastAsia="zh-CN"/>
        </w:rPr>
        <w:t xml:space="preserve">X, X= min(UE supported number of SMTCs, number of </w:t>
      </w:r>
      <w:r>
        <w:rPr>
          <w:rFonts w:hint="default"/>
          <w:b/>
          <w:bCs/>
          <w:i/>
          <w:iCs/>
          <w:sz w:val="20"/>
          <w:szCs w:val="20"/>
          <w:lang w:val="en-US" w:eastAsia="zh-CN"/>
        </w:rPr>
        <w:t>SMTCs configured by the network</w:t>
      </w:r>
      <w:r>
        <w:rPr>
          <w:rFonts w:hint="eastAsia"/>
          <w:b/>
          <w:bCs/>
          <w:i/>
          <w:iCs/>
          <w:sz w:val="20"/>
          <w:szCs w:val="20"/>
          <w:lang w:val="en-US" w:eastAsia="zh-CN"/>
        </w:rPr>
        <w:t>)</w:t>
      </w:r>
      <w:r>
        <w:rPr>
          <w:rFonts w:hint="default"/>
          <w:b/>
          <w:bCs/>
          <w:i/>
          <w:iCs/>
          <w:sz w:val="20"/>
          <w:szCs w:val="20"/>
          <w:lang w:val="en-US" w:eastAsia="zh-CN"/>
        </w:rPr>
        <w:t>.</w:t>
      </w:r>
    </w:p>
    <w:p w14:paraId="47EAA9F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Regarding P</w:t>
      </w:r>
      <w:r>
        <w:rPr>
          <w:rFonts w:hint="default"/>
          <w:kern w:val="2"/>
          <w:sz w:val="20"/>
          <w:szCs w:val="20"/>
          <w:lang w:val="en-US" w:eastAsia="zh-CN"/>
        </w:rPr>
        <w:t>arallel measurements on cells belonging to a different NGSO satellite than a serving satellite without scheduling restrictions on normal operations with the serving cell</w:t>
      </w:r>
      <w:r>
        <w:rPr>
          <w:rFonts w:hint="eastAsia"/>
          <w:kern w:val="2"/>
          <w:sz w:val="20"/>
          <w:szCs w:val="20"/>
          <w:lang w:val="en-US" w:eastAsia="zh-CN"/>
        </w:rPr>
        <w:t xml:space="preserve"> (Feature 25-2), </w:t>
      </w:r>
      <w:r>
        <w:rPr>
          <w:rFonts w:hint="default"/>
          <w:kern w:val="2"/>
          <w:sz w:val="20"/>
          <w:szCs w:val="20"/>
          <w:lang w:val="en-US" w:eastAsia="zh-CN"/>
        </w:rPr>
        <w:t>Parallel measurements with multiple measurement gaps</w:t>
      </w:r>
      <w:r>
        <w:rPr>
          <w:rFonts w:hint="eastAsia"/>
          <w:kern w:val="2"/>
          <w:sz w:val="20"/>
          <w:szCs w:val="20"/>
          <w:lang w:val="en-US" w:eastAsia="zh-CN"/>
        </w:rPr>
        <w:t xml:space="preserve"> (Feature 25-3), and P</w:t>
      </w:r>
      <w:r>
        <w:rPr>
          <w:rFonts w:hint="eastAsia"/>
          <w:kern w:val="2"/>
          <w:sz w:val="20"/>
          <w:szCs w:val="20"/>
          <w:lang w:val="en-US" w:eastAsia="ko-KR"/>
        </w:rPr>
        <w:t>arallel measurements on multiple NGSO satellites within a SMTC (Feature 25-5)</w:t>
      </w:r>
      <w:r>
        <w:rPr>
          <w:rFonts w:hint="eastAsia"/>
          <w:kern w:val="2"/>
          <w:sz w:val="20"/>
          <w:szCs w:val="20"/>
          <w:lang w:val="en-US" w:eastAsia="zh-CN"/>
        </w:rPr>
        <w:t>,</w:t>
      </w:r>
      <w:r>
        <w:rPr>
          <w:rFonts w:hint="eastAsia"/>
          <w:kern w:val="2"/>
          <w:sz w:val="20"/>
          <w:szCs w:val="20"/>
          <w:lang w:val="en-US" w:eastAsia="ko-KR"/>
        </w:rPr>
        <w:t xml:space="preserve"> </w:t>
      </w:r>
      <w:r>
        <w:rPr>
          <w:rFonts w:hint="eastAsia"/>
          <w:kern w:val="2"/>
          <w:sz w:val="20"/>
          <w:szCs w:val="20"/>
          <w:lang w:val="en-US" w:eastAsia="zh-CN"/>
        </w:rPr>
        <w:t xml:space="preserve">we think these capability can be optionally supported by </w:t>
      </w:r>
      <w:r>
        <w:rPr>
          <w:rFonts w:hint="eastAsia"/>
          <w:kern w:val="2"/>
          <w:sz w:val="20"/>
          <w:szCs w:val="20"/>
          <w:lang w:val="en-US" w:eastAsia="ko-KR"/>
        </w:rPr>
        <w:t>(e)RedCap UEs</w:t>
      </w:r>
      <w:r>
        <w:rPr>
          <w:rFonts w:hint="eastAsia"/>
          <w:kern w:val="2"/>
          <w:sz w:val="20"/>
          <w:szCs w:val="20"/>
          <w:lang w:val="en-US" w:eastAsia="zh-CN"/>
        </w:rPr>
        <w:t xml:space="preserve"> with 2Rx, can not be supported by </w:t>
      </w:r>
      <w:r>
        <w:rPr>
          <w:rFonts w:hint="eastAsia"/>
          <w:kern w:val="2"/>
          <w:sz w:val="20"/>
          <w:szCs w:val="20"/>
          <w:lang w:val="en-US" w:eastAsia="ko-KR"/>
        </w:rPr>
        <w:t>(e)RedCap UEs</w:t>
      </w:r>
      <w:r>
        <w:rPr>
          <w:rFonts w:hint="eastAsia"/>
          <w:kern w:val="2"/>
          <w:sz w:val="20"/>
          <w:szCs w:val="20"/>
          <w:lang w:val="en-US" w:eastAsia="zh-CN"/>
        </w:rPr>
        <w:t xml:space="preserve"> with 1Rx. </w:t>
      </w:r>
    </w:p>
    <w:p w14:paraId="29C613B6">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default"/>
          <w:b/>
          <w:bCs/>
          <w:i/>
          <w:iCs/>
          <w:sz w:val="20"/>
          <w:szCs w:val="20"/>
          <w:lang w:val="en-US" w:eastAsia="zh-CN"/>
        </w:rPr>
      </w:pPr>
      <w:r>
        <w:rPr>
          <w:rFonts w:hint="eastAsia"/>
          <w:b/>
          <w:bCs/>
          <w:i/>
          <w:iCs/>
          <w:sz w:val="20"/>
          <w:szCs w:val="20"/>
          <w:lang w:val="en-US" w:eastAsia="zh-CN"/>
        </w:rPr>
        <w:t xml:space="preserve">Proposal 9: For feature 25-2, 25-3 and 25-5, these capability can be optionally supported by (e)RedCap UEs with 2Rx, can not be supported by (e)RedCap UEs with 1Rx. </w:t>
      </w:r>
    </w:p>
    <w:p w14:paraId="305BDF01">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eastAsiaTheme="minorEastAsia"/>
          <w:kern w:val="2"/>
          <w:sz w:val="20"/>
          <w:szCs w:val="20"/>
          <w:lang w:val="en-US" w:eastAsia="zh-CN"/>
        </w:rPr>
      </w:pPr>
      <w:r>
        <w:rPr>
          <w:rFonts w:hint="eastAsia"/>
          <w:kern w:val="2"/>
          <w:sz w:val="20"/>
          <w:szCs w:val="20"/>
          <w:lang w:val="en-US" w:eastAsia="zh-CN"/>
        </w:rPr>
        <w:t xml:space="preserve">As for the number of target LEO satellites the UE can monitor per carrier including serving satellite, currently, for legacy UE, in NGSO deployments, cells from 2 satellites including the satellite serving the PCell if UE does not support the capability maxNumber-LEO-SatellitesPerCarrier-r17; or cells from 3 or 4 satellites satellites including the satellite serving the PCell, depending on the value indicated in maxNumber-LEO-SatellitesPerCarrier-r17. We think same UE capability can be reused for </w:t>
      </w:r>
      <w:r>
        <w:rPr>
          <w:rFonts w:hint="eastAsia"/>
          <w:kern w:val="2"/>
          <w:sz w:val="20"/>
          <w:szCs w:val="20"/>
          <w:lang w:val="en-US" w:eastAsia="ko-KR"/>
        </w:rPr>
        <w:t>(e)RedCap UE</w:t>
      </w:r>
      <w:r>
        <w:rPr>
          <w:rFonts w:hint="eastAsia"/>
          <w:kern w:val="2"/>
          <w:sz w:val="20"/>
          <w:szCs w:val="20"/>
          <w:lang w:val="en-US" w:eastAsia="zh-CN"/>
        </w:rPr>
        <w:t>.</w:t>
      </w:r>
    </w:p>
    <w:p w14:paraId="462C499A">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eastAsia"/>
          <w:b/>
          <w:bCs/>
          <w:i/>
          <w:iCs/>
          <w:sz w:val="20"/>
          <w:szCs w:val="20"/>
          <w:lang w:val="en-US" w:eastAsia="zh-CN"/>
        </w:rPr>
      </w:pPr>
      <w:r>
        <w:rPr>
          <w:rFonts w:hint="eastAsia"/>
          <w:b/>
          <w:bCs/>
          <w:i/>
          <w:iCs/>
          <w:sz w:val="20"/>
          <w:szCs w:val="20"/>
          <w:lang w:val="en-US" w:eastAsia="zh-CN"/>
        </w:rPr>
        <w:t>Proposal 10: For the number of target LEO satellites the UE can monitor per carrier including serving satellite, legacy UE capability (Feature 25-7) can be reused.</w:t>
      </w:r>
    </w:p>
    <w:p w14:paraId="0009A21B">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p>
    <w:p w14:paraId="12DB2225">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1-2-5: The number of searchers and CSSF</w:t>
      </w:r>
    </w:p>
    <w:p w14:paraId="10C1D0C8">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ko-KR"/>
        </w:rPr>
        <w:t>&lt;Way Forward&gt;</w:t>
      </w:r>
      <w:r>
        <w:rPr>
          <w:rFonts w:hint="eastAsia"/>
          <w:b/>
          <w:bCs w:val="0"/>
          <w:i/>
          <w:iCs/>
          <w:sz w:val="20"/>
          <w:szCs w:val="20"/>
          <w:highlight w:val="none"/>
          <w:u w:val="none"/>
          <w:lang w:val="en-US" w:eastAsia="zh-CN"/>
        </w:rPr>
        <w:t>:</w:t>
      </w:r>
    </w:p>
    <w:p w14:paraId="3E2C205D">
      <w:pPr>
        <w:numPr>
          <w:ilvl w:val="0"/>
          <w:numId w:val="6"/>
        </w:numPr>
        <w:spacing w:after="120"/>
        <w:ind w:left="720"/>
        <w:contextualSpacing w:val="0"/>
        <w:rPr>
          <w:rFonts w:hint="default"/>
          <w:b/>
          <w:i/>
          <w:iCs/>
          <w:sz w:val="20"/>
          <w:szCs w:val="20"/>
          <w:highlight w:val="none"/>
          <w:u w:val="single"/>
          <w:lang w:val="en-US" w:eastAsia="zh-CN"/>
        </w:rPr>
      </w:pPr>
      <w:r>
        <w:rPr>
          <w:rFonts w:hint="eastAsia" w:ascii="Times New Roman" w:hAnsi="Times New Roman" w:eastAsia="宋体" w:cs="Times New Roman"/>
          <w:i/>
          <w:iCs/>
          <w:sz w:val="20"/>
          <w:szCs w:val="20"/>
          <w:lang w:val="en-US" w:eastAsia="zh-CN" w:bidi="ar-SA"/>
        </w:rPr>
        <w:t>Single searcher assumption and the CSSF defined for (e)RedCap UEs in TN will be reused for (e)RedCap UE with FR1-NTN.</w:t>
      </w:r>
    </w:p>
    <w:p w14:paraId="1DA41371">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The CSSF is a fundamental parameter for further defining the measurement requirements. For Redcap UE, it has been defined in Clause 9.1A.5 TS 38.133, which only considering NR SA single carrier mode. We think it can be the starting point for CSSF of Redcap over NTN.</w:t>
      </w:r>
    </w:p>
    <w:p w14:paraId="69C579B1">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11: Define the CSSF for Redcap over NTN, the legacy CSSF for Redcap can be the baseline.</w:t>
      </w:r>
    </w:p>
    <w:p w14:paraId="7C246438">
      <w:pPr>
        <w:outlineLvl w:val="9"/>
        <w:rPr>
          <w:rFonts w:hint="default"/>
          <w:b/>
          <w:i/>
          <w:iCs/>
          <w:sz w:val="20"/>
          <w:szCs w:val="20"/>
          <w:highlight w:val="none"/>
          <w:u w:val="single"/>
          <w:lang w:val="en-US" w:eastAsia="zh-CN"/>
        </w:rPr>
      </w:pPr>
    </w:p>
    <w:p w14:paraId="2CE87CDF">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1-2-7: NCD-SSB</w:t>
      </w:r>
    </w:p>
    <w:p w14:paraId="78553809">
      <w:pPr>
        <w:outlineLvl w:val="9"/>
        <w:rPr>
          <w:rFonts w:hint="eastAsia"/>
          <w:b/>
          <w:bCs w:val="0"/>
          <w:i/>
          <w:iCs/>
          <w:sz w:val="20"/>
          <w:szCs w:val="20"/>
          <w:highlight w:val="none"/>
          <w:u w:val="none"/>
          <w:lang w:val="en-US" w:eastAsia="ko-KR"/>
        </w:rPr>
      </w:pPr>
      <w:r>
        <w:rPr>
          <w:rFonts w:hint="eastAsia"/>
          <w:b/>
          <w:bCs w:val="0"/>
          <w:i/>
          <w:iCs/>
          <w:sz w:val="20"/>
          <w:szCs w:val="20"/>
          <w:highlight w:val="none"/>
          <w:u w:val="none"/>
          <w:lang w:val="en-US" w:eastAsia="ko-KR"/>
        </w:rPr>
        <w:t>&lt;Way Forward&gt;</w:t>
      </w:r>
      <w:r>
        <w:rPr>
          <w:rFonts w:hint="eastAsia"/>
          <w:b/>
          <w:bCs w:val="0"/>
          <w:i/>
          <w:iCs/>
          <w:sz w:val="20"/>
          <w:szCs w:val="20"/>
          <w:highlight w:val="none"/>
          <w:u w:val="none"/>
          <w:lang w:val="en-US" w:eastAsia="zh-CN"/>
        </w:rPr>
        <w:t>:</w:t>
      </w:r>
    </w:p>
    <w:p w14:paraId="6DB15478">
      <w:pPr>
        <w:numPr>
          <w:ilvl w:val="0"/>
          <w:numId w:val="6"/>
        </w:numPr>
        <w:spacing w:after="120"/>
        <w:ind w:left="720"/>
        <w:contextualSpacing w:val="0"/>
        <w:rPr>
          <w:rFonts w:hint="default"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the terminology of SSB used in the spec,</w:t>
      </w:r>
    </w:p>
    <w:p w14:paraId="11B2C18E">
      <w:pPr>
        <w:numPr>
          <w:ilvl w:val="1"/>
          <w:numId w:val="6"/>
        </w:numPr>
        <w:spacing w:after="120"/>
        <w:ind w:left="114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1 (CATT, Ericsson, HW, CMCC): Use the terminology of SSB without differentiating CD-SSB/NCD-SSB.</w:t>
      </w:r>
    </w:p>
    <w:p w14:paraId="7653B1C6">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whether to add additional requirement applicability about CD-SSB/NCD-SSB,</w:t>
      </w:r>
    </w:p>
    <w:p w14:paraId="19D03AAE">
      <w:pPr>
        <w:numPr>
          <w:ilvl w:val="1"/>
          <w:numId w:val="6"/>
        </w:numPr>
        <w:spacing w:after="120"/>
        <w:ind w:left="114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Option 1 (CATT, Ericsson, HW): Add a clarification in a separate clause on this aspect (such as clause 3 in TS 38.133), and the wording can be: </w:t>
      </w:r>
    </w:p>
    <w:p w14:paraId="11F156C8">
      <w:pPr>
        <w:numPr>
          <w:ilvl w:val="2"/>
          <w:numId w:val="6"/>
        </w:numPr>
        <w:spacing w:after="120"/>
        <w:ind w:left="156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The requirements defined for (e)RedCap UEs with FR1-NTN are only applicable to CD-SSB.</w:t>
      </w:r>
    </w:p>
    <w:p w14:paraId="6303336B">
      <w:pPr>
        <w:numPr>
          <w:ilvl w:val="1"/>
          <w:numId w:val="6"/>
        </w:numPr>
        <w:spacing w:after="120"/>
        <w:ind w:left="114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Option 2 (CMCC): No need to add additional requirement applicability about CD-SSB/NCD-SSB. </w:t>
      </w:r>
    </w:p>
    <w:p w14:paraId="3440F731">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i/>
          <w:iCs/>
          <w:sz w:val="20"/>
          <w:szCs w:val="20"/>
          <w:lang w:eastAsia="ko-KR"/>
        </w:rPr>
      </w:pPr>
      <w:r>
        <w:rPr>
          <w:rFonts w:hint="eastAsia"/>
          <w:kern w:val="2"/>
          <w:sz w:val="20"/>
          <w:szCs w:val="20"/>
          <w:lang w:val="en-US" w:eastAsia="zh-CN"/>
        </w:rPr>
        <w:t>we propose to use the terminology of SSB without differentiating CD-SSB/NCD-SSB as R17 NTN, no need to add additional requirement applicability about CD-SSB/NCD-SSB.</w:t>
      </w:r>
    </w:p>
    <w:p w14:paraId="7B4F14AE">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i/>
          <w:iCs/>
          <w:sz w:val="20"/>
          <w:szCs w:val="20"/>
          <w:highlight w:val="none"/>
          <w:u w:val="single"/>
          <w:lang w:val="en-US" w:eastAsia="zh-CN"/>
        </w:rPr>
      </w:pPr>
      <w:r>
        <w:rPr>
          <w:rFonts w:hint="eastAsia"/>
          <w:b/>
          <w:bCs/>
          <w:i/>
          <w:iCs/>
          <w:sz w:val="20"/>
          <w:szCs w:val="20"/>
          <w:lang w:val="en-US" w:eastAsia="zh-CN"/>
        </w:rPr>
        <w:t>Proposal 12: Use the terminology of SSB without differentiating CD-SSB/NCD-SSB, no need to add additional requirement applicability about CD-SSB/NCD-SSB.</w:t>
      </w:r>
    </w:p>
    <w:p w14:paraId="3CD41CBA">
      <w:pPr>
        <w:outlineLvl w:val="9"/>
        <w:rPr>
          <w:rFonts w:hint="default"/>
          <w:b/>
          <w:i/>
          <w:iCs/>
          <w:sz w:val="20"/>
          <w:szCs w:val="20"/>
          <w:highlight w:val="none"/>
          <w:u w:val="single"/>
          <w:lang w:val="en-US" w:eastAsia="zh-CN"/>
        </w:rPr>
      </w:pPr>
    </w:p>
    <w:p w14:paraId="0F5BD91A">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1-2-8: Other features</w:t>
      </w:r>
    </w:p>
    <w:p w14:paraId="54EDC0CE">
      <w:pPr>
        <w:outlineLvl w:val="9"/>
        <w:rPr>
          <w:rFonts w:hint="eastAsia"/>
          <w:b/>
          <w:bCs w:val="0"/>
          <w:i/>
          <w:iCs/>
          <w:sz w:val="20"/>
          <w:szCs w:val="20"/>
          <w:highlight w:val="none"/>
          <w:u w:val="none"/>
          <w:lang w:val="en-US" w:eastAsia="ko-KR"/>
        </w:rPr>
      </w:pPr>
      <w:r>
        <w:rPr>
          <w:rFonts w:hint="eastAsia"/>
          <w:b/>
          <w:bCs w:val="0"/>
          <w:i/>
          <w:iCs/>
          <w:sz w:val="20"/>
          <w:szCs w:val="20"/>
          <w:highlight w:val="none"/>
          <w:u w:val="none"/>
          <w:lang w:val="en-US" w:eastAsia="ko-KR"/>
        </w:rPr>
        <w:t>&lt;Way Forward&gt;</w:t>
      </w:r>
      <w:r>
        <w:rPr>
          <w:rFonts w:hint="eastAsia"/>
          <w:b/>
          <w:bCs w:val="0"/>
          <w:i/>
          <w:iCs/>
          <w:sz w:val="20"/>
          <w:szCs w:val="20"/>
          <w:highlight w:val="none"/>
          <w:u w:val="none"/>
          <w:lang w:val="en-US" w:eastAsia="zh-CN"/>
        </w:rPr>
        <w:t>:</w:t>
      </w:r>
    </w:p>
    <w:p w14:paraId="4EDCCB63">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1 (CMCC): For the optional NTN features which have impact on RAN4 requirements and need enhanced UE capability, whether Redcap UE could optionally support it and whether RAN4 need to define requirements should be further discussed.</w:t>
      </w:r>
    </w:p>
    <w:p w14:paraId="70CC2C92">
      <w:pPr>
        <w:numPr>
          <w:ilvl w:val="1"/>
          <w:numId w:val="6"/>
        </w:numPr>
        <w:spacing w:after="120"/>
        <w:ind w:left="114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Set 1: propose to be optionally supported by Redcap over NTN</w:t>
      </w:r>
    </w:p>
    <w:p w14:paraId="56FC0C10">
      <w:pPr>
        <w:numPr>
          <w:ilvl w:val="2"/>
          <w:numId w:val="6"/>
        </w:numPr>
        <w:spacing w:after="120"/>
        <w:ind w:left="156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SMTC adjustment in idle/inactive</w:t>
      </w:r>
    </w:p>
    <w:p w14:paraId="48F9956C">
      <w:pPr>
        <w:numPr>
          <w:ilvl w:val="2"/>
          <w:numId w:val="6"/>
        </w:numPr>
        <w:spacing w:after="120"/>
        <w:ind w:left="156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Location-based measurement report trigger</w:t>
      </w:r>
    </w:p>
    <w:p w14:paraId="6054B64A">
      <w:pPr>
        <w:numPr>
          <w:ilvl w:val="2"/>
          <w:numId w:val="6"/>
        </w:numPr>
        <w:spacing w:after="120"/>
        <w:ind w:left="156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Enhanced RRM requirements for measurements in IDLE and INACTIVE modes</w:t>
      </w:r>
    </w:p>
    <w:p w14:paraId="1207F51F">
      <w:pPr>
        <w:numPr>
          <w:ilvl w:val="2"/>
          <w:numId w:val="6"/>
        </w:numPr>
        <w:spacing w:after="120"/>
        <w:ind w:left="156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The number of target LEO satellites the UE can monitor per carrier including serving satellite</w:t>
      </w:r>
    </w:p>
    <w:p w14:paraId="6EB82F81">
      <w:pPr>
        <w:numPr>
          <w:ilvl w:val="2"/>
          <w:numId w:val="6"/>
        </w:numPr>
        <w:spacing w:after="120"/>
        <w:ind w:left="156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Further discuss the max number</w:t>
      </w:r>
    </w:p>
    <w:p w14:paraId="0CA27934">
      <w:pPr>
        <w:numPr>
          <w:ilvl w:val="1"/>
          <w:numId w:val="6"/>
        </w:numPr>
        <w:spacing w:after="120"/>
        <w:ind w:left="1140" w:leftChars="0"/>
        <w:contextualSpacing w:val="0"/>
        <w:rPr>
          <w:rFonts w:hint="default"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Set 2:</w:t>
      </w:r>
    </w:p>
    <w:p w14:paraId="6CA3CF8A">
      <w:pPr>
        <w:numPr>
          <w:ilvl w:val="2"/>
          <w:numId w:val="6"/>
        </w:numPr>
        <w:spacing w:after="120"/>
        <w:ind w:left="156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Parallel measurements on cells belonging to a different NGSO satellite than a serving satellite without scheduling restrictions on normal operations with the serving cell</w:t>
      </w:r>
    </w:p>
    <w:p w14:paraId="73C4D9EC">
      <w:pPr>
        <w:numPr>
          <w:ilvl w:val="2"/>
          <w:numId w:val="6"/>
        </w:numPr>
        <w:spacing w:after="120"/>
        <w:ind w:left="1560" w:leftChars="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Parallel measurements on multiple NGSO satellites within a SMTC</w:t>
      </w:r>
    </w:p>
    <w:p w14:paraId="7339A9AA">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For R17 and R18 NTN, RAN1 to RAN4 introduced a lot of new UE features and related requirements for network access, measurement, mobility, and so on. For the optional NTN features below which have impact on RAN4 requirements, we think they can be optionally supported by Redcap UE.</w:t>
      </w:r>
    </w:p>
    <w:p w14:paraId="7037E667">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SMTC adjustment in idle/inactive</w:t>
      </w:r>
    </w:p>
    <w:p w14:paraId="41468C57">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Location-based measurement report trigger</w:t>
      </w:r>
    </w:p>
    <w:p w14:paraId="70F9464E">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Enhanced RRM requirements for measurements in IDLE and INACTIVE modes</w:t>
      </w:r>
    </w:p>
    <w:p w14:paraId="31A7B8FF">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13: For the optional NTN features which have impact on RAN4 requirements, they can also be optionally supported by Redcap UE..</w:t>
      </w:r>
    </w:p>
    <w:p w14:paraId="409EC050">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en-GB"/>
        </w:rPr>
      </w:pPr>
      <w:r>
        <w:rPr>
          <w:rFonts w:hint="eastAsia"/>
          <w:b/>
          <w:bCs/>
          <w:i/>
          <w:iCs/>
          <w:sz w:val="20"/>
          <w:szCs w:val="20"/>
          <w:lang w:val="en-US" w:eastAsia="en-GB"/>
        </w:rPr>
        <w:t>SMTC adjustment in idle/inactive</w:t>
      </w:r>
    </w:p>
    <w:p w14:paraId="291D25C5">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en-GB"/>
        </w:rPr>
      </w:pPr>
      <w:r>
        <w:rPr>
          <w:rFonts w:hint="eastAsia"/>
          <w:b/>
          <w:bCs/>
          <w:i/>
          <w:iCs/>
          <w:sz w:val="20"/>
          <w:szCs w:val="20"/>
          <w:lang w:val="en-US" w:eastAsia="en-GB"/>
        </w:rPr>
        <w:t>Location-based measurement report trigger</w:t>
      </w:r>
    </w:p>
    <w:p w14:paraId="046AF9FA">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Enhanced RRM requirements for measurements in IDLE and INACTIVE modes</w:t>
      </w:r>
    </w:p>
    <w:p w14:paraId="3B6CAA44">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p>
    <w:p w14:paraId="43EEB4D0">
      <w:pPr>
        <w:pStyle w:val="2"/>
        <w:numPr>
          <w:ilvl w:val="0"/>
          <w:numId w:val="5"/>
        </w:numPr>
        <w:pBdr>
          <w:top w:val="single" w:color="auto" w:sz="12" w:space="3"/>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Reduction in the number of UE Rx branches</w:t>
      </w:r>
    </w:p>
    <w:p w14:paraId="0A251069">
      <w:pPr>
        <w:keepNext/>
        <w:keepLines/>
        <w:pageBreakBefore w:val="0"/>
        <w:widowControl/>
        <w:kinsoku/>
        <w:wordWrap/>
        <w:topLinePunct w:val="0"/>
        <w:bidi w:val="0"/>
        <w:spacing w:before="157" w:beforeLines="50" w:after="120" w:line="240" w:lineRule="auto"/>
        <w:outlineLvl w:val="9"/>
        <w:rPr>
          <w:rFonts w:ascii="Times New Roman" w:hAnsi="Times New Roman" w:eastAsia="宋体" w:cs="Times New Roman"/>
          <w:b/>
          <w:bCs/>
          <w:i/>
          <w:iCs/>
          <w:sz w:val="20"/>
          <w:szCs w:val="28"/>
          <w:u w:val="single"/>
          <w:lang w:val="en-US" w:eastAsia="ko-KR" w:bidi="ar-SA"/>
        </w:rPr>
      </w:pPr>
      <w:r>
        <w:rPr>
          <w:rFonts w:ascii="Times New Roman" w:hAnsi="Times New Roman" w:eastAsia="宋体" w:cs="Times New Roman"/>
          <w:b/>
          <w:bCs/>
          <w:i/>
          <w:iCs/>
          <w:sz w:val="20"/>
          <w:szCs w:val="28"/>
          <w:u w:val="single"/>
          <w:lang w:val="en-US" w:eastAsia="ko-KR" w:bidi="ar-SA"/>
        </w:rPr>
        <w:t xml:space="preserve">Issue </w:t>
      </w:r>
      <w:r>
        <w:rPr>
          <w:rFonts w:hint="eastAsia" w:ascii="Times New Roman" w:hAnsi="Times New Roman" w:eastAsia="宋体" w:cs="Times New Roman"/>
          <w:b/>
          <w:bCs/>
          <w:i/>
          <w:iCs/>
          <w:sz w:val="20"/>
          <w:szCs w:val="28"/>
          <w:u w:val="single"/>
          <w:lang w:val="en-US" w:eastAsia="en-US" w:bidi="ar-SA"/>
        </w:rPr>
        <w:t>2</w:t>
      </w:r>
      <w:r>
        <w:rPr>
          <w:rFonts w:ascii="Times New Roman" w:hAnsi="Times New Roman" w:eastAsia="宋体" w:cs="Times New Roman"/>
          <w:b/>
          <w:bCs/>
          <w:i/>
          <w:iCs/>
          <w:sz w:val="20"/>
          <w:szCs w:val="28"/>
          <w:u w:val="single"/>
          <w:lang w:val="en-US" w:eastAsia="ko-KR" w:bidi="ar-SA"/>
        </w:rPr>
        <w:t>-</w:t>
      </w:r>
      <w:r>
        <w:rPr>
          <w:rFonts w:hint="eastAsia" w:ascii="Times New Roman" w:hAnsi="Times New Roman" w:eastAsia="宋体" w:cs="Times New Roman"/>
          <w:b/>
          <w:bCs/>
          <w:i/>
          <w:iCs/>
          <w:sz w:val="20"/>
          <w:szCs w:val="28"/>
          <w:u w:val="single"/>
          <w:lang w:val="en-US" w:eastAsia="en-US" w:bidi="ar-SA"/>
        </w:rPr>
        <w:t>1-1</w:t>
      </w:r>
      <w:r>
        <w:rPr>
          <w:rFonts w:ascii="Times New Roman" w:hAnsi="Times New Roman" w:eastAsia="宋体" w:cs="Times New Roman"/>
          <w:b/>
          <w:bCs/>
          <w:i/>
          <w:iCs/>
          <w:sz w:val="20"/>
          <w:szCs w:val="28"/>
          <w:u w:val="single"/>
          <w:lang w:val="en-US" w:eastAsia="ko-KR" w:bidi="ar-SA"/>
        </w:rPr>
        <w:t>: RRC_IDLE/RRC_INACTIVE mode mobility for 1Rx/2Rx (e)RedCap UEs with FR1-NTN</w:t>
      </w:r>
    </w:p>
    <w:p w14:paraId="1D4F630C">
      <w:pPr>
        <w:pageBreakBefore w:val="0"/>
        <w:widowControl/>
        <w:kinsoku/>
        <w:wordWrap/>
        <w:topLinePunct w:val="0"/>
        <w:bidi w:val="0"/>
        <w:snapToGrid w:val="0"/>
        <w:spacing w:before="157" w:beforeLines="50" w:after="120"/>
        <w:rPr>
          <w:rFonts w:eastAsia="宋体"/>
          <w:i/>
          <w:iCs/>
          <w:sz w:val="20"/>
          <w:szCs w:val="20"/>
          <w:lang w:eastAsia="en-US"/>
        </w:rPr>
      </w:pPr>
      <w:r>
        <w:rPr>
          <w:rFonts w:eastAsia="宋体"/>
          <w:b/>
          <w:i/>
          <w:iCs/>
          <w:sz w:val="20"/>
          <w:szCs w:val="24"/>
          <w:highlight w:val="green"/>
          <w:lang w:eastAsia="zh-CN"/>
        </w:rPr>
        <w:t>&lt; Agreement &gt;</w:t>
      </w:r>
      <w:r>
        <w:rPr>
          <w:rFonts w:hint="eastAsia" w:eastAsia="宋体"/>
          <w:b/>
          <w:i/>
          <w:iCs/>
          <w:sz w:val="20"/>
          <w:szCs w:val="24"/>
          <w:highlight w:val="green"/>
          <w:lang w:val="en-US" w:eastAsia="zh-CN"/>
        </w:rPr>
        <w:t>:</w:t>
      </w:r>
    </w:p>
    <w:p w14:paraId="3F6B185F">
      <w:pPr>
        <w:numPr>
          <w:ilvl w:val="0"/>
          <w:numId w:val="6"/>
        </w:numPr>
        <w:spacing w:after="120"/>
        <w:ind w:left="720"/>
        <w:contextualSpacing w:val="0"/>
        <w:rPr>
          <w:rFonts w:ascii="Times New Roman" w:hAnsi="Times New Roman" w:eastAsia="宋体" w:cs="Times New Roman"/>
          <w:i/>
          <w:iCs/>
          <w:sz w:val="20"/>
          <w:szCs w:val="20"/>
          <w:highlight w:val="none"/>
          <w:lang w:val="en-US" w:eastAsia="en-US" w:bidi="ar-SA"/>
        </w:rPr>
      </w:pPr>
      <w:r>
        <w:rPr>
          <w:rFonts w:ascii="Times New Roman" w:hAnsi="Times New Roman" w:eastAsia="宋体" w:cs="Times New Roman"/>
          <w:i/>
          <w:iCs/>
          <w:sz w:val="20"/>
          <w:szCs w:val="20"/>
          <w:highlight w:val="none"/>
          <w:lang w:val="en-US" w:eastAsia="en-US" w:bidi="ar-SA"/>
        </w:rPr>
        <w:t>For 2Rx (e)RedCap UEs with FR1-NTN bands,</w:t>
      </w:r>
    </w:p>
    <w:p w14:paraId="66E5DADA">
      <w:pPr>
        <w:numPr>
          <w:ilvl w:val="1"/>
          <w:numId w:val="6"/>
        </w:numPr>
        <w:spacing w:after="0"/>
        <w:rPr>
          <w:rFonts w:ascii="Times New Roman" w:hAnsi="Times New Roman" w:eastAsia="宋体" w:cs="Times New Roman"/>
          <w:i/>
          <w:iCs/>
          <w:sz w:val="20"/>
          <w:szCs w:val="20"/>
          <w:highlight w:val="none"/>
          <w:lang w:val="en-US" w:eastAsia="en-US" w:bidi="ar-SA"/>
        </w:rPr>
      </w:pPr>
      <w:r>
        <w:rPr>
          <w:rFonts w:ascii="Times New Roman" w:hAnsi="Times New Roman" w:eastAsia="宋体" w:cs="Times New Roman"/>
          <w:i/>
          <w:iCs/>
          <w:sz w:val="20"/>
          <w:szCs w:val="20"/>
          <w:highlight w:val="none"/>
          <w:lang w:val="en-US" w:eastAsia="en-US" w:bidi="ar-SA"/>
        </w:rPr>
        <w:t>RAN4 to reuse the legacy mobility requirements in RRC_IDLE / RRC_INACTIVE state defined for normal UEs with FR1-NTN in high level.</w:t>
      </w:r>
    </w:p>
    <w:p w14:paraId="471DF69F">
      <w:pPr>
        <w:numPr>
          <w:ilvl w:val="2"/>
          <w:numId w:val="6"/>
        </w:numPr>
        <w:spacing w:after="0"/>
        <w:ind w:left="1956" w:leftChars="0" w:hanging="360" w:firstLineChars="0"/>
        <w:rPr>
          <w:rFonts w:ascii="Times New Roman" w:hAnsi="Times New Roman" w:eastAsia="宋体" w:cs="Times New Roman"/>
          <w:i/>
          <w:iCs/>
          <w:sz w:val="20"/>
          <w:szCs w:val="20"/>
          <w:highlight w:val="none"/>
          <w:lang w:val="en-US" w:eastAsia="en-US" w:bidi="ar-SA"/>
        </w:rPr>
      </w:pPr>
      <w:r>
        <w:rPr>
          <w:rFonts w:ascii="Times New Roman" w:hAnsi="Times New Roman" w:eastAsia="宋体" w:cs="Times New Roman"/>
          <w:i/>
          <w:iCs/>
          <w:sz w:val="20"/>
          <w:szCs w:val="20"/>
          <w:highlight w:val="none"/>
          <w:lang w:val="en-US" w:eastAsia="en-US" w:bidi="ar-SA"/>
        </w:rPr>
        <w:t>Depend on the supported UE capabilities (e.g., multiple SMTC), the existing NR NTN requirements may need be revised.</w:t>
      </w:r>
    </w:p>
    <w:p w14:paraId="03CF6B69">
      <w:pPr>
        <w:numPr>
          <w:ilvl w:val="0"/>
          <w:numId w:val="6"/>
        </w:numPr>
        <w:spacing w:after="120"/>
        <w:ind w:left="720"/>
        <w:contextualSpacing w:val="0"/>
        <w:rPr>
          <w:rFonts w:ascii="Times New Roman" w:hAnsi="Times New Roman" w:eastAsia="宋体" w:cs="Times New Roman"/>
          <w:i/>
          <w:iCs/>
          <w:sz w:val="20"/>
          <w:szCs w:val="20"/>
          <w:highlight w:val="none"/>
          <w:lang w:val="en-US" w:eastAsia="en-US" w:bidi="ar-SA"/>
        </w:rPr>
      </w:pPr>
      <w:r>
        <w:rPr>
          <w:rFonts w:ascii="Times New Roman" w:hAnsi="Times New Roman" w:eastAsia="宋体" w:cs="Times New Roman"/>
          <w:i/>
          <w:iCs/>
          <w:sz w:val="20"/>
          <w:szCs w:val="20"/>
          <w:highlight w:val="none"/>
          <w:lang w:val="en-US" w:eastAsia="en-US" w:bidi="ar-SA"/>
        </w:rPr>
        <w:t>For 1Rx (e)RedCap UEs with FR1-NTN bands,</w:t>
      </w:r>
    </w:p>
    <w:p w14:paraId="5609069E">
      <w:pPr>
        <w:numPr>
          <w:ilvl w:val="1"/>
          <w:numId w:val="6"/>
        </w:numPr>
        <w:spacing w:after="0"/>
        <w:rPr>
          <w:rFonts w:ascii="Times New Roman" w:hAnsi="Times New Roman" w:eastAsia="宋体" w:cs="Times New Roman"/>
          <w:i/>
          <w:iCs/>
          <w:sz w:val="20"/>
          <w:szCs w:val="20"/>
          <w:highlight w:val="none"/>
          <w:lang w:val="en-US" w:eastAsia="en-US" w:bidi="ar-SA"/>
        </w:rPr>
      </w:pPr>
      <w:r>
        <w:rPr>
          <w:rFonts w:ascii="Times New Roman" w:hAnsi="Times New Roman" w:eastAsia="宋体" w:cs="Times New Roman"/>
          <w:i/>
          <w:iCs/>
          <w:sz w:val="20"/>
          <w:szCs w:val="20"/>
          <w:highlight w:val="none"/>
          <w:lang w:val="en-US" w:eastAsia="en-US" w:bidi="ar-SA"/>
        </w:rPr>
        <w:t>RAN4 to reuse the same offset of 1Rx RedCap UEs in TN compared to 2Rx (e)RedCap UEs.</w:t>
      </w:r>
    </w:p>
    <w:p w14:paraId="5AF87629">
      <w:pPr>
        <w:numPr>
          <w:ilvl w:val="2"/>
          <w:numId w:val="6"/>
        </w:numPr>
        <w:spacing w:after="0"/>
        <w:ind w:left="1956" w:leftChars="0" w:hanging="360" w:firstLineChars="0"/>
        <w:rPr>
          <w:rFonts w:ascii="Times New Roman" w:hAnsi="Times New Roman" w:eastAsia="宋体" w:cs="Times New Roman"/>
          <w:i/>
          <w:iCs/>
          <w:sz w:val="20"/>
          <w:szCs w:val="20"/>
          <w:highlight w:val="none"/>
          <w:lang w:val="en-GB" w:eastAsia="ja-JP" w:bidi="ar-SA"/>
        </w:rPr>
      </w:pPr>
      <w:r>
        <w:rPr>
          <w:rFonts w:ascii="Times New Roman" w:hAnsi="Times New Roman" w:eastAsia="宋体" w:cs="Times New Roman"/>
          <w:i/>
          <w:iCs/>
          <w:sz w:val="20"/>
          <w:szCs w:val="20"/>
          <w:highlight w:val="none"/>
          <w:lang w:val="en-GB" w:eastAsia="zh-CN" w:bidi="ar-SA"/>
        </w:rPr>
        <w:t xml:space="preserve">For </w:t>
      </w:r>
      <w:r>
        <w:rPr>
          <w:rFonts w:ascii="Times New Roman" w:hAnsi="Times New Roman" w:eastAsia="宋体" w:cs="Times New Roman"/>
          <w:i/>
          <w:iCs/>
          <w:sz w:val="20"/>
          <w:szCs w:val="20"/>
          <w:highlight w:val="none"/>
          <w:lang w:val="en-GB" w:eastAsia="ja-JP" w:bidi="ar-SA"/>
        </w:rPr>
        <w:t>Qrxlevmin and Qqualmin: -1 dB offset can be reused.</w:t>
      </w:r>
    </w:p>
    <w:p w14:paraId="16272B1D">
      <w:pPr>
        <w:numPr>
          <w:ilvl w:val="2"/>
          <w:numId w:val="6"/>
        </w:numPr>
        <w:spacing w:after="0"/>
        <w:ind w:left="1956" w:leftChars="0" w:hanging="360" w:firstLineChars="0"/>
        <w:rPr>
          <w:rFonts w:ascii="Times New Roman" w:hAnsi="Times New Roman" w:eastAsia="宋体" w:cs="Times New Roman"/>
          <w:i/>
          <w:iCs/>
          <w:sz w:val="20"/>
          <w:szCs w:val="20"/>
          <w:highlight w:val="none"/>
          <w:lang w:val="en-GB" w:eastAsia="ja-JP" w:bidi="ar-SA"/>
        </w:rPr>
      </w:pPr>
      <w:r>
        <w:rPr>
          <w:rFonts w:ascii="Times New Roman" w:hAnsi="Times New Roman" w:eastAsia="宋体" w:cs="Times New Roman"/>
          <w:i/>
          <w:iCs/>
          <w:sz w:val="20"/>
          <w:szCs w:val="20"/>
          <w:highlight w:val="none"/>
          <w:lang w:val="en-GB" w:eastAsia="ja-JP" w:bidi="ar-SA"/>
        </w:rPr>
        <w:t>For the measurements of intra- and inter-frequency NR cells,</w:t>
      </w:r>
    </w:p>
    <w:p w14:paraId="650462F7">
      <w:pPr>
        <w:numPr>
          <w:ilvl w:val="3"/>
          <w:numId w:val="6"/>
        </w:numPr>
        <w:spacing w:after="0"/>
        <w:ind w:left="2676" w:leftChars="0" w:hanging="360" w:firstLineChars="0"/>
        <w:rPr>
          <w:rFonts w:ascii="Times New Roman" w:hAnsi="Times New Roman" w:eastAsia="宋体" w:cs="Times New Roman"/>
          <w:i/>
          <w:iCs/>
          <w:sz w:val="20"/>
          <w:szCs w:val="20"/>
          <w:highlight w:val="none"/>
          <w:lang w:val="en-GB" w:eastAsia="ja-JP" w:bidi="ar-SA"/>
        </w:rPr>
      </w:pPr>
      <w:r>
        <w:rPr>
          <w:rFonts w:ascii="Times New Roman" w:hAnsi="Times New Roman" w:eastAsia="宋体" w:cs="Times New Roman"/>
          <w:i/>
          <w:iCs/>
          <w:sz w:val="20"/>
          <w:szCs w:val="20"/>
          <w:highlight w:val="none"/>
          <w:lang w:val="en-GB" w:eastAsia="ja-JP" w:bidi="ar-SA"/>
        </w:rPr>
        <w:t>+1 dB</w:t>
      </w:r>
      <w:r>
        <w:rPr>
          <w:rFonts w:ascii="Times New Roman" w:hAnsi="Times New Roman" w:eastAsia="宋体" w:cs="Times New Roman"/>
          <w:i/>
          <w:iCs/>
          <w:sz w:val="20"/>
          <w:szCs w:val="20"/>
          <w:highlight w:val="none"/>
          <w:lang w:val="en-US" w:eastAsia="ja-JP" w:bidi="ar-SA"/>
        </w:rPr>
        <w:t xml:space="preserve"> offset on </w:t>
      </w:r>
      <w:r>
        <w:rPr>
          <w:rFonts w:ascii="Times New Roman" w:hAnsi="Times New Roman" w:eastAsia="宋体" w:cs="Times New Roman"/>
          <w:i/>
          <w:iCs/>
          <w:sz w:val="20"/>
          <w:szCs w:val="20"/>
          <w:highlight w:val="none"/>
          <w:lang w:val="en-GB" w:eastAsia="ja-JP" w:bidi="ar-SA"/>
        </w:rPr>
        <w:t xml:space="preserve">the </w:t>
      </w:r>
      <w:r>
        <w:rPr>
          <w:rFonts w:ascii="Times New Roman" w:hAnsi="Times New Roman" w:eastAsia="宋体" w:cs="Times New Roman"/>
          <w:i/>
          <w:iCs/>
          <w:sz w:val="20"/>
          <w:szCs w:val="20"/>
          <w:highlight w:val="none"/>
          <w:lang w:val="en-US" w:eastAsia="ja-JP" w:bidi="ar-SA"/>
        </w:rPr>
        <w:t xml:space="preserve">threshold of </w:t>
      </w:r>
      <w:r>
        <w:rPr>
          <w:rFonts w:ascii="Times New Roman" w:hAnsi="Times New Roman" w:eastAsia="宋体" w:cs="Times New Roman"/>
          <w:i/>
          <w:iCs/>
          <w:sz w:val="20"/>
          <w:szCs w:val="20"/>
          <w:highlight w:val="none"/>
          <w:lang w:val="en-GB" w:eastAsia="ja-JP" w:bidi="ar-SA"/>
        </w:rPr>
        <w:t>absThreshSS-BlocksConsolidation</w:t>
      </w:r>
      <w:r>
        <w:rPr>
          <w:rFonts w:ascii="Times New Roman" w:hAnsi="Times New Roman" w:eastAsia="宋体" w:cs="Times New Roman"/>
          <w:i/>
          <w:iCs/>
          <w:sz w:val="20"/>
          <w:szCs w:val="20"/>
          <w:highlight w:val="none"/>
          <w:lang w:val="en-US" w:eastAsia="ja-JP" w:bidi="ar-SA"/>
        </w:rPr>
        <w:t xml:space="preserve"> can be reused as a baseline.</w:t>
      </w:r>
    </w:p>
    <w:p w14:paraId="3F9EB5F3">
      <w:pPr>
        <w:numPr>
          <w:ilvl w:val="3"/>
          <w:numId w:val="6"/>
        </w:numPr>
        <w:spacing w:after="0"/>
        <w:ind w:left="2676" w:leftChars="0" w:hanging="360" w:firstLineChars="0"/>
        <w:rPr>
          <w:rFonts w:ascii="Times New Roman" w:hAnsi="Times New Roman" w:eastAsia="宋体" w:cs="Times New Roman"/>
          <w:i/>
          <w:iCs/>
          <w:sz w:val="20"/>
          <w:szCs w:val="20"/>
          <w:highlight w:val="none"/>
          <w:lang w:val="en-GB" w:eastAsia="ja-JP" w:bidi="ar-SA"/>
        </w:rPr>
      </w:pPr>
      <w:r>
        <w:rPr>
          <w:rFonts w:ascii="Times New Roman" w:hAnsi="Times New Roman" w:eastAsia="宋体" w:cs="Times New Roman"/>
          <w:i/>
          <w:iCs/>
          <w:sz w:val="20"/>
          <w:szCs w:val="20"/>
          <w:highlight w:val="none"/>
          <w:lang w:val="en-US" w:eastAsia="ja-JP" w:bidi="ar-SA"/>
        </w:rPr>
        <w:t xml:space="preserve">For the cases of </w:t>
      </w:r>
      <w:r>
        <w:rPr>
          <w:rFonts w:ascii="Times New Roman" w:hAnsi="Times New Roman" w:eastAsia="宋体" w:cs="Times New Roman"/>
          <w:i/>
          <w:iCs/>
          <w:sz w:val="20"/>
          <w:szCs w:val="20"/>
          <w:highlight w:val="none"/>
          <w:lang w:val="en-GB" w:eastAsia="ja-JP" w:bidi="ar-SA"/>
        </w:rPr>
        <w:t>rangeToBestCell is not configured and rangeToBestCell is configured, +1 dB offset can be reused for better cell ranked</w:t>
      </w:r>
      <w:r>
        <w:rPr>
          <w:rFonts w:ascii="Times New Roman" w:hAnsi="Times New Roman" w:eastAsia="宋体" w:cs="Times New Roman"/>
          <w:i/>
          <w:iCs/>
          <w:sz w:val="20"/>
          <w:szCs w:val="20"/>
          <w:highlight w:val="none"/>
          <w:lang w:val="en-US" w:eastAsia="ja-JP" w:bidi="ar-SA"/>
        </w:rPr>
        <w:t>.</w:t>
      </w:r>
    </w:p>
    <w:p w14:paraId="0309D364">
      <w:pPr>
        <w:numPr>
          <w:ilvl w:val="2"/>
          <w:numId w:val="6"/>
        </w:numPr>
        <w:spacing w:after="0"/>
        <w:ind w:left="1956" w:leftChars="0" w:hanging="360" w:firstLineChars="0"/>
        <w:rPr>
          <w:rFonts w:ascii="Times New Roman" w:hAnsi="Times New Roman" w:eastAsia="宋体" w:cs="Times New Roman"/>
          <w:i/>
          <w:iCs/>
          <w:sz w:val="20"/>
          <w:szCs w:val="20"/>
          <w:highlight w:val="none"/>
          <w:lang w:val="en-GB" w:eastAsia="ja-JP" w:bidi="ar-SA"/>
        </w:rPr>
      </w:pPr>
      <w:r>
        <w:rPr>
          <w:rFonts w:ascii="Times New Roman" w:hAnsi="Times New Roman" w:eastAsia="宋体" w:cs="Times New Roman"/>
          <w:i/>
          <w:iCs/>
          <w:sz w:val="20"/>
          <w:szCs w:val="20"/>
          <w:highlight w:val="none"/>
          <w:lang w:val="en-GB" w:eastAsia="ja-JP" w:bidi="ar-SA"/>
        </w:rPr>
        <w:t>In RRC_IDLE / RRC_INACTIVE state,</w:t>
      </w:r>
      <w:r>
        <w:rPr>
          <w:rFonts w:ascii="Times New Roman" w:hAnsi="Times New Roman" w:eastAsia="宋体" w:cs="Times New Roman"/>
          <w:i/>
          <w:iCs/>
          <w:sz w:val="20"/>
          <w:szCs w:val="20"/>
          <w:highlight w:val="none"/>
          <w:lang w:val="en-GB" w:eastAsia="zh-CN" w:bidi="ar-SA"/>
        </w:rPr>
        <w:t xml:space="preserve"> </w:t>
      </w:r>
      <w:r>
        <w:rPr>
          <w:rFonts w:ascii="Times New Roman" w:hAnsi="Times New Roman" w:eastAsia="宋体" w:cs="Times New Roman"/>
          <w:i/>
          <w:iCs/>
          <w:sz w:val="20"/>
          <w:szCs w:val="20"/>
          <w:highlight w:val="none"/>
          <w:lang w:val="en-GB" w:eastAsia="ja-JP" w:bidi="ar-SA"/>
        </w:rPr>
        <w:t>+1 dB offset can be reused for a margin in FR1</w:t>
      </w:r>
      <w:r>
        <w:rPr>
          <w:rFonts w:ascii="Times New Roman" w:hAnsi="Times New Roman" w:eastAsia="宋体" w:cs="Times New Roman"/>
          <w:i/>
          <w:iCs/>
          <w:sz w:val="20"/>
          <w:szCs w:val="20"/>
          <w:highlight w:val="none"/>
          <w:lang w:val="en-GB" w:eastAsia="zh-CN" w:bidi="ar-SA"/>
        </w:rPr>
        <w:t xml:space="preserve"> f</w:t>
      </w:r>
      <w:r>
        <w:rPr>
          <w:rFonts w:ascii="Times New Roman" w:hAnsi="Times New Roman" w:eastAsia="宋体" w:cs="Times New Roman"/>
          <w:i/>
          <w:iCs/>
          <w:sz w:val="20"/>
          <w:szCs w:val="20"/>
          <w:highlight w:val="none"/>
          <w:lang w:val="en-GB" w:eastAsia="ja-JP" w:bidi="ar-SA"/>
        </w:rPr>
        <w:t>or reselections when UE evaluating whether a newly detectable inter-frequency cell meets the reselection criteria</w:t>
      </w:r>
      <w:r>
        <w:rPr>
          <w:rFonts w:ascii="Times New Roman" w:hAnsi="Times New Roman" w:eastAsia="宋体" w:cs="Times New Roman"/>
          <w:i/>
          <w:iCs/>
          <w:sz w:val="20"/>
          <w:szCs w:val="20"/>
          <w:highlight w:val="none"/>
          <w:lang w:val="en-GB" w:eastAsia="zh-CN" w:bidi="ar-SA"/>
        </w:rPr>
        <w:t>.</w:t>
      </w:r>
    </w:p>
    <w:p w14:paraId="38AB1A60">
      <w:pPr>
        <w:numPr>
          <w:ilvl w:val="3"/>
          <w:numId w:val="6"/>
        </w:numPr>
        <w:spacing w:after="0"/>
        <w:ind w:left="2676" w:leftChars="0" w:hanging="360" w:firstLineChars="0"/>
        <w:rPr>
          <w:rFonts w:ascii="Times New Roman" w:hAnsi="Times New Roman" w:eastAsia="宋体" w:cs="Times New Roman"/>
          <w:i/>
          <w:iCs/>
          <w:sz w:val="20"/>
          <w:szCs w:val="20"/>
          <w:highlight w:val="none"/>
          <w:lang w:val="en-US" w:eastAsia="ja-JP" w:bidi="ar-SA"/>
        </w:rPr>
      </w:pPr>
      <w:r>
        <w:rPr>
          <w:rFonts w:ascii="Times New Roman" w:hAnsi="Times New Roman" w:eastAsia="宋体" w:cs="Times New Roman"/>
          <w:i/>
          <w:iCs/>
          <w:sz w:val="20"/>
          <w:szCs w:val="20"/>
          <w:highlight w:val="none"/>
          <w:lang w:val="en-GB" w:eastAsia="ja-JP" w:bidi="ar-SA"/>
        </w:rPr>
        <w:t>For 1 Rx RedCap by a margin of at least</w:t>
      </w:r>
      <w:r>
        <w:rPr>
          <w:rFonts w:ascii="Times New Roman" w:hAnsi="Times New Roman" w:eastAsia="宋体" w:cs="Times New Roman"/>
          <w:i/>
          <w:iCs/>
          <w:sz w:val="20"/>
          <w:szCs w:val="20"/>
          <w:highlight w:val="none"/>
          <w:lang w:val="en-GB" w:eastAsia="zh-CN" w:bidi="ar-SA"/>
        </w:rPr>
        <w:t>:</w:t>
      </w:r>
    </w:p>
    <w:p w14:paraId="4D75171A">
      <w:pPr>
        <w:numPr>
          <w:ilvl w:val="4"/>
          <w:numId w:val="6"/>
        </w:numPr>
        <w:spacing w:after="0"/>
        <w:ind w:left="3396" w:leftChars="0" w:hanging="360" w:firstLineChars="0"/>
        <w:rPr>
          <w:rFonts w:ascii="Times New Roman" w:hAnsi="Times New Roman" w:eastAsia="宋体" w:cs="Times New Roman"/>
          <w:i/>
          <w:iCs/>
          <w:sz w:val="20"/>
          <w:szCs w:val="20"/>
          <w:highlight w:val="none"/>
          <w:lang w:val="en-US" w:eastAsia="ja-JP" w:bidi="ar-SA"/>
        </w:rPr>
      </w:pPr>
      <w:r>
        <w:rPr>
          <w:rFonts w:ascii="Times New Roman" w:hAnsi="Times New Roman" w:eastAsia="宋体" w:cs="Times New Roman"/>
          <w:i/>
          <w:iCs/>
          <w:sz w:val="20"/>
          <w:szCs w:val="20"/>
          <w:highlight w:val="none"/>
          <w:lang w:val="en-GB" w:eastAsia="ja-JP" w:bidi="ar-SA"/>
        </w:rPr>
        <w:t xml:space="preserve">6 dB in FR1 for reselections based on ranking or </w:t>
      </w:r>
    </w:p>
    <w:p w14:paraId="61BB301D">
      <w:pPr>
        <w:numPr>
          <w:ilvl w:val="4"/>
          <w:numId w:val="6"/>
        </w:numPr>
        <w:spacing w:after="0"/>
        <w:ind w:left="3396" w:leftChars="0" w:hanging="360" w:firstLineChars="0"/>
        <w:rPr>
          <w:rFonts w:ascii="Times New Roman" w:hAnsi="Times New Roman" w:eastAsia="宋体" w:cs="Times New Roman"/>
          <w:i/>
          <w:iCs/>
          <w:sz w:val="20"/>
          <w:szCs w:val="20"/>
          <w:highlight w:val="none"/>
          <w:lang w:val="en-US" w:eastAsia="ja-JP" w:bidi="ar-SA"/>
        </w:rPr>
      </w:pPr>
      <w:r>
        <w:rPr>
          <w:rFonts w:ascii="Times New Roman" w:hAnsi="Times New Roman" w:eastAsia="MS Mincho" w:cs="Times New Roman"/>
          <w:i/>
          <w:iCs/>
          <w:sz w:val="20"/>
          <w:szCs w:val="20"/>
          <w:highlight w:val="none"/>
          <w:lang w:val="en-GB" w:eastAsia="ja-JP" w:bidi="ar-SA"/>
        </w:rPr>
        <w:t xml:space="preserve">7 dB in FR1 for SS-RSRP reselections based on absolute priorities or </w:t>
      </w:r>
    </w:p>
    <w:p w14:paraId="06F6DA4F">
      <w:pPr>
        <w:numPr>
          <w:ilvl w:val="4"/>
          <w:numId w:val="6"/>
        </w:numPr>
        <w:spacing w:after="0"/>
        <w:ind w:left="3396" w:leftChars="0" w:hanging="360" w:firstLineChars="0"/>
        <w:rPr>
          <w:rFonts w:ascii="Times New Roman" w:hAnsi="Times New Roman" w:eastAsia="宋体" w:cs="Times New Roman"/>
          <w:i/>
          <w:iCs/>
          <w:sz w:val="20"/>
          <w:szCs w:val="20"/>
          <w:highlight w:val="none"/>
          <w:lang w:val="en-US" w:eastAsia="ja-JP" w:bidi="ar-SA"/>
        </w:rPr>
      </w:pPr>
      <w:r>
        <w:rPr>
          <w:rFonts w:ascii="Times New Roman" w:hAnsi="Times New Roman" w:eastAsia="MS Mincho" w:cs="Times New Roman"/>
          <w:i/>
          <w:iCs/>
          <w:sz w:val="20"/>
          <w:szCs w:val="20"/>
          <w:highlight w:val="none"/>
          <w:lang w:val="en-GB" w:eastAsia="ja-JP" w:bidi="ar-SA"/>
        </w:rPr>
        <w:t>5 dB in FR1 for SS-RSRQ reselections based on absolute priorities.</w:t>
      </w:r>
    </w:p>
    <w:p w14:paraId="2247B280">
      <w:pPr>
        <w:numPr>
          <w:ilvl w:val="1"/>
          <w:numId w:val="6"/>
        </w:numPr>
        <w:spacing w:after="0"/>
        <w:rPr>
          <w:rFonts w:ascii="Times New Roman" w:hAnsi="Times New Roman" w:eastAsia="宋体" w:cs="Times New Roman"/>
          <w:i/>
          <w:iCs/>
          <w:sz w:val="20"/>
          <w:szCs w:val="20"/>
          <w:highlight w:val="none"/>
          <w:lang w:val="en-US" w:eastAsia="en-US" w:bidi="ar-SA"/>
        </w:rPr>
      </w:pPr>
      <w:r>
        <w:rPr>
          <w:rFonts w:ascii="Times New Roman" w:hAnsi="Times New Roman" w:eastAsia="宋体" w:cs="Times New Roman"/>
          <w:i/>
          <w:iCs/>
          <w:sz w:val="20"/>
          <w:szCs w:val="20"/>
          <w:highlight w:val="none"/>
          <w:lang w:val="en-US" w:eastAsia="en-US" w:bidi="ar-SA"/>
        </w:rPr>
        <w:t>RAN4 to reduce the number of NR inter-frequency carriers that UE shall at least be capable of monitoring.</w:t>
      </w:r>
    </w:p>
    <w:p w14:paraId="0777EB3E">
      <w:pPr>
        <w:numPr>
          <w:ilvl w:val="2"/>
          <w:numId w:val="6"/>
        </w:numPr>
        <w:spacing w:after="0"/>
        <w:ind w:left="1956" w:leftChars="0" w:hanging="360" w:firstLineChars="0"/>
        <w:rPr>
          <w:rFonts w:ascii="Times New Roman" w:hAnsi="Times New Roman" w:eastAsia="宋体" w:cs="Times New Roman"/>
          <w:i/>
          <w:iCs/>
          <w:sz w:val="20"/>
          <w:szCs w:val="20"/>
          <w:highlight w:val="none"/>
          <w:lang w:val="en-US" w:eastAsia="en-US" w:bidi="ar-SA"/>
        </w:rPr>
      </w:pPr>
      <w:r>
        <w:rPr>
          <w:rFonts w:ascii="Times New Roman" w:hAnsi="Times New Roman" w:eastAsia="宋体" w:cs="Times New Roman"/>
          <w:i/>
          <w:iCs/>
          <w:sz w:val="20"/>
          <w:szCs w:val="20"/>
          <w:highlight w:val="none"/>
          <w:lang w:val="en-US" w:eastAsia="en-US" w:bidi="ar-SA"/>
        </w:rPr>
        <w:t>6 NR inter-frequency carriers can be reused.</w:t>
      </w:r>
    </w:p>
    <w:p w14:paraId="07B17E5B">
      <w:pPr>
        <w:numPr>
          <w:ilvl w:val="1"/>
          <w:numId w:val="6"/>
        </w:numPr>
        <w:spacing w:after="0"/>
        <w:rPr>
          <w:rFonts w:ascii="Times New Roman" w:hAnsi="Times New Roman" w:eastAsia="宋体" w:cs="Times New Roman"/>
          <w:i/>
          <w:iCs/>
          <w:sz w:val="20"/>
          <w:szCs w:val="20"/>
          <w:highlight w:val="none"/>
          <w:lang w:val="en-US" w:eastAsia="en-US" w:bidi="ar-SA"/>
        </w:rPr>
      </w:pPr>
      <w:r>
        <w:rPr>
          <w:rFonts w:ascii="Times New Roman" w:hAnsi="Times New Roman" w:eastAsia="宋体" w:cs="Times New Roman"/>
          <w:i/>
          <w:iCs/>
          <w:sz w:val="20"/>
          <w:szCs w:val="20"/>
          <w:highlight w:val="none"/>
          <w:lang w:val="en-US" w:eastAsia="en-US" w:bidi="ar-SA"/>
        </w:rPr>
        <w:t>The parameters of N</w:t>
      </w:r>
      <w:r>
        <w:rPr>
          <w:rFonts w:ascii="Times New Roman" w:hAnsi="Times New Roman" w:eastAsia="宋体" w:cs="Times New Roman"/>
          <w:i/>
          <w:iCs/>
          <w:sz w:val="20"/>
          <w:szCs w:val="20"/>
          <w:highlight w:val="none"/>
          <w:vertAlign w:val="subscript"/>
          <w:lang w:val="en-US" w:eastAsia="en-US" w:bidi="ar-SA"/>
        </w:rPr>
        <w:t>serv_RedCap</w:t>
      </w:r>
      <w:r>
        <w:rPr>
          <w:rFonts w:ascii="Times New Roman" w:hAnsi="Times New Roman" w:eastAsia="宋体" w:cs="Times New Roman"/>
          <w:i/>
          <w:iCs/>
          <w:sz w:val="20"/>
          <w:szCs w:val="20"/>
          <w:highlight w:val="none"/>
          <w:lang w:val="en-US" w:eastAsia="en-US" w:bidi="ar-SA"/>
        </w:rPr>
        <w:t>, T</w:t>
      </w:r>
      <w:r>
        <w:rPr>
          <w:rFonts w:ascii="Times New Roman" w:hAnsi="Times New Roman" w:eastAsia="宋体" w:cs="Times New Roman"/>
          <w:i/>
          <w:iCs/>
          <w:sz w:val="20"/>
          <w:szCs w:val="20"/>
          <w:highlight w:val="none"/>
          <w:vertAlign w:val="subscript"/>
          <w:lang w:val="en-US" w:eastAsia="en-US" w:bidi="ar-SA"/>
        </w:rPr>
        <w:t>detect,NR_Intra/Inter_RedCap</w:t>
      </w:r>
      <w:r>
        <w:rPr>
          <w:rFonts w:ascii="Times New Roman" w:hAnsi="Times New Roman" w:eastAsia="宋体" w:cs="Times New Roman"/>
          <w:i/>
          <w:iCs/>
          <w:sz w:val="20"/>
          <w:szCs w:val="20"/>
          <w:highlight w:val="none"/>
          <w:lang w:val="en-US" w:eastAsia="en-US" w:bidi="ar-SA"/>
        </w:rPr>
        <w:t>, T</w:t>
      </w:r>
      <w:r>
        <w:rPr>
          <w:rFonts w:ascii="Times New Roman" w:hAnsi="Times New Roman" w:eastAsia="宋体" w:cs="Times New Roman"/>
          <w:i/>
          <w:iCs/>
          <w:sz w:val="20"/>
          <w:szCs w:val="20"/>
          <w:highlight w:val="none"/>
          <w:vertAlign w:val="subscript"/>
          <w:lang w:val="en-US" w:eastAsia="en-US" w:bidi="ar-SA"/>
        </w:rPr>
        <w:t>measure,NR_Intra/Inter_RedCap</w:t>
      </w:r>
      <w:r>
        <w:rPr>
          <w:rFonts w:ascii="Times New Roman" w:hAnsi="Times New Roman" w:eastAsia="宋体" w:cs="Times New Roman"/>
          <w:i/>
          <w:iCs/>
          <w:sz w:val="20"/>
          <w:szCs w:val="20"/>
          <w:highlight w:val="none"/>
          <w:lang w:val="en-US" w:eastAsia="en-US" w:bidi="ar-SA"/>
        </w:rPr>
        <w:t xml:space="preserve"> and T</w:t>
      </w:r>
      <w:r>
        <w:rPr>
          <w:rFonts w:ascii="Times New Roman" w:hAnsi="Times New Roman" w:eastAsia="宋体" w:cs="Times New Roman"/>
          <w:i/>
          <w:iCs/>
          <w:sz w:val="20"/>
          <w:szCs w:val="20"/>
          <w:highlight w:val="none"/>
          <w:vertAlign w:val="subscript"/>
          <w:lang w:val="en-US" w:eastAsia="en-US" w:bidi="ar-SA"/>
        </w:rPr>
        <w:t xml:space="preserve">evaluate,NR_Intra/Inter_RedCap </w:t>
      </w:r>
      <w:r>
        <w:rPr>
          <w:rFonts w:ascii="Times New Roman" w:hAnsi="Times New Roman" w:eastAsia="宋体" w:cs="Times New Roman"/>
          <w:i/>
          <w:iCs/>
          <w:sz w:val="20"/>
          <w:szCs w:val="20"/>
          <w:highlight w:val="none"/>
          <w:lang w:val="en-US" w:eastAsia="en-US" w:bidi="ar-SA"/>
        </w:rPr>
        <w:t>defined for cell re-selection requirements will be not distinguished between 1Rx and 2 Rx (e)RedCap UE, and the requirements for both will be the same.</w:t>
      </w:r>
    </w:p>
    <w:p w14:paraId="5CF32D47">
      <w:pPr>
        <w:numPr>
          <w:ilvl w:val="1"/>
          <w:numId w:val="6"/>
        </w:numPr>
        <w:spacing w:after="0"/>
        <w:rPr>
          <w:rFonts w:ascii="Times New Roman" w:hAnsi="Times New Roman" w:eastAsia="宋体" w:cs="Times New Roman"/>
          <w:i/>
          <w:iCs/>
          <w:sz w:val="20"/>
          <w:szCs w:val="20"/>
          <w:highlight w:val="none"/>
          <w:lang w:val="en-US" w:eastAsia="en-US" w:bidi="ar-SA"/>
        </w:rPr>
      </w:pPr>
      <w:r>
        <w:rPr>
          <w:rFonts w:ascii="Times New Roman" w:hAnsi="Times New Roman" w:eastAsia="宋体" w:cs="Times New Roman"/>
          <w:i/>
          <w:iCs/>
          <w:sz w:val="20"/>
          <w:szCs w:val="20"/>
          <w:highlight w:val="none"/>
          <w:lang w:val="en-US" w:eastAsia="en-US" w:bidi="ar-SA"/>
        </w:rPr>
        <w:t>For SDT requirements, +1 dB offset on the threshold of sdt-RSRP-Threshold-r17 for 1 Rx RedCap UE.</w:t>
      </w:r>
    </w:p>
    <w:p w14:paraId="3717C047">
      <w:pPr>
        <w:numPr>
          <w:ilvl w:val="0"/>
          <w:numId w:val="6"/>
        </w:numPr>
        <w:spacing w:after="120"/>
        <w:ind w:left="720"/>
        <w:contextualSpacing w:val="0"/>
        <w:rPr>
          <w:rFonts w:ascii="Times New Roman" w:hAnsi="Times New Roman" w:eastAsia="宋体" w:cs="Times New Roman"/>
          <w:i/>
          <w:iCs/>
          <w:sz w:val="20"/>
          <w:szCs w:val="20"/>
          <w:highlight w:val="none"/>
          <w:lang w:val="en-US" w:eastAsia="en-US" w:bidi="ar-SA"/>
        </w:rPr>
      </w:pPr>
      <w:r>
        <w:rPr>
          <w:rFonts w:ascii="Times New Roman" w:hAnsi="Times New Roman" w:eastAsia="宋体" w:cs="Times New Roman"/>
          <w:i/>
          <w:iCs/>
          <w:sz w:val="20"/>
          <w:szCs w:val="20"/>
          <w:highlight w:val="none"/>
          <w:lang w:val="en-US" w:eastAsia="en-US" w:bidi="ar-SA"/>
        </w:rPr>
        <w:t>Define the enhanced cell reselection measurement requirements for 1Rx and 2Rx (e)RedCap UE with FR1-NTN bands.</w:t>
      </w:r>
    </w:p>
    <w:p w14:paraId="7177993F">
      <w:pPr>
        <w:numPr>
          <w:ilvl w:val="1"/>
          <w:numId w:val="6"/>
        </w:numPr>
        <w:spacing w:after="0"/>
        <w:rPr>
          <w:rFonts w:ascii="Times New Roman" w:hAnsi="Times New Roman" w:eastAsia="宋体" w:cs="Times New Roman"/>
          <w:i/>
          <w:iCs/>
          <w:sz w:val="20"/>
          <w:szCs w:val="20"/>
          <w:highlight w:val="none"/>
          <w:lang w:val="en-US" w:eastAsia="en-US" w:bidi="ar-SA"/>
        </w:rPr>
      </w:pPr>
      <w:r>
        <w:rPr>
          <w:rFonts w:hint="eastAsia" w:ascii="Times New Roman" w:hAnsi="Times New Roman" w:eastAsia="宋体" w:cs="Times New Roman"/>
          <w:i/>
          <w:iCs/>
          <w:sz w:val="20"/>
          <w:szCs w:val="20"/>
          <w:highlight w:val="none"/>
          <w:lang w:val="en-US" w:eastAsia="zh-CN" w:bidi="ar-SA"/>
        </w:rPr>
        <w:t>FFS:</w:t>
      </w:r>
      <w:r>
        <w:rPr>
          <w:rFonts w:hint="eastAsia" w:ascii="Times New Roman" w:hAnsi="Times New Roman" w:eastAsia="宋体" w:cs="Times New Roman"/>
          <w:i/>
          <w:iCs/>
          <w:sz w:val="20"/>
          <w:szCs w:val="20"/>
          <w:highlight w:val="none"/>
          <w:lang w:val="en-US" w:eastAsia="en-US" w:bidi="ar-SA"/>
        </w:rPr>
        <w:t xml:space="preserve"> </w:t>
      </w:r>
      <w:r>
        <w:rPr>
          <w:rFonts w:hint="eastAsia" w:ascii="Times New Roman" w:hAnsi="Times New Roman" w:eastAsia="宋体" w:cs="Times New Roman"/>
          <w:i/>
          <w:iCs/>
          <w:sz w:val="20"/>
          <w:szCs w:val="20"/>
          <w:highlight w:val="none"/>
          <w:lang w:val="en-US" w:eastAsia="zh-CN" w:bidi="ar-SA"/>
        </w:rPr>
        <w:t>H</w:t>
      </w:r>
      <w:r>
        <w:rPr>
          <w:rFonts w:hint="eastAsia" w:ascii="Times New Roman" w:hAnsi="Times New Roman" w:eastAsia="宋体" w:cs="Times New Roman"/>
          <w:i/>
          <w:iCs/>
          <w:sz w:val="20"/>
          <w:szCs w:val="20"/>
          <w:highlight w:val="none"/>
          <w:lang w:val="en-US" w:eastAsia="en-US" w:bidi="ar-SA"/>
        </w:rPr>
        <w:t xml:space="preserve">ow to define the </w:t>
      </w:r>
      <w:bookmarkStart w:id="13" w:name="OLE_LINK55"/>
      <w:bookmarkStart w:id="14" w:name="OLE_LINK54"/>
      <w:r>
        <w:rPr>
          <w:rFonts w:ascii="Times New Roman" w:hAnsi="Times New Roman" w:eastAsia="宋体" w:cs="Times New Roman"/>
          <w:i/>
          <w:iCs/>
          <w:sz w:val="20"/>
          <w:szCs w:val="20"/>
          <w:highlight w:val="none"/>
          <w:lang w:val="en-US" w:eastAsia="en-US" w:bidi="ar-SA"/>
        </w:rPr>
        <w:t xml:space="preserve">enhanced cell reselection </w:t>
      </w:r>
      <w:bookmarkEnd w:id="13"/>
      <w:bookmarkEnd w:id="14"/>
      <w:r>
        <w:rPr>
          <w:rFonts w:ascii="Times New Roman" w:hAnsi="Times New Roman" w:eastAsia="宋体" w:cs="Times New Roman"/>
          <w:i/>
          <w:iCs/>
          <w:sz w:val="20"/>
          <w:szCs w:val="20"/>
          <w:highlight w:val="none"/>
          <w:lang w:val="en-US" w:eastAsia="en-US" w:bidi="ar-SA"/>
        </w:rPr>
        <w:t>measurement requirements for 1R</w:t>
      </w:r>
      <w:r>
        <w:rPr>
          <w:rFonts w:hint="eastAsia" w:ascii="Times New Roman" w:hAnsi="Times New Roman" w:eastAsia="宋体" w:cs="Times New Roman"/>
          <w:i/>
          <w:iCs/>
          <w:sz w:val="20"/>
          <w:szCs w:val="20"/>
          <w:highlight w:val="none"/>
          <w:lang w:val="en-US" w:eastAsia="en-US" w:bidi="ar-SA"/>
        </w:rPr>
        <w:t>x and 2Rx</w:t>
      </w:r>
      <w:r>
        <w:rPr>
          <w:rFonts w:ascii="Times New Roman" w:hAnsi="Times New Roman" w:eastAsia="宋体" w:cs="Times New Roman"/>
          <w:i/>
          <w:iCs/>
          <w:sz w:val="20"/>
          <w:szCs w:val="20"/>
          <w:highlight w:val="none"/>
          <w:lang w:val="en-US" w:eastAsia="en-US" w:bidi="ar-SA"/>
        </w:rPr>
        <w:t xml:space="preserve"> (e)Red</w:t>
      </w:r>
      <w:r>
        <w:rPr>
          <w:rFonts w:hint="eastAsia" w:ascii="Times New Roman" w:hAnsi="Times New Roman" w:eastAsia="宋体" w:cs="Times New Roman"/>
          <w:i/>
          <w:iCs/>
          <w:sz w:val="20"/>
          <w:szCs w:val="20"/>
          <w:highlight w:val="none"/>
          <w:lang w:val="en-US" w:eastAsia="en-US" w:bidi="ar-SA"/>
        </w:rPr>
        <w:t>C</w:t>
      </w:r>
      <w:r>
        <w:rPr>
          <w:rFonts w:ascii="Times New Roman" w:hAnsi="Times New Roman" w:eastAsia="宋体" w:cs="Times New Roman"/>
          <w:i/>
          <w:iCs/>
          <w:sz w:val="20"/>
          <w:szCs w:val="20"/>
          <w:highlight w:val="none"/>
          <w:lang w:val="en-US" w:eastAsia="en-US" w:bidi="ar-SA"/>
        </w:rPr>
        <w:t>ap UE with FR1-NTN bands.</w:t>
      </w:r>
    </w:p>
    <w:p w14:paraId="58E9E5D9">
      <w:pPr>
        <w:keepNext w:val="0"/>
        <w:keepLines w:val="0"/>
        <w:pageBreakBefore w:val="0"/>
        <w:widowControl/>
        <w:numPr>
          <w:ilvl w:val="0"/>
          <w:numId w:val="6"/>
        </w:numPr>
        <w:kinsoku/>
        <w:wordWrap/>
        <w:overflowPunct/>
        <w:topLinePunct w:val="0"/>
        <w:autoSpaceDE/>
        <w:autoSpaceDN/>
        <w:bidi w:val="0"/>
        <w:adjustRightInd/>
        <w:snapToGrid/>
        <w:spacing w:before="157" w:beforeLines="50" w:after="120"/>
        <w:ind w:left="726" w:hanging="363"/>
        <w:contextualSpacing w:val="0"/>
        <w:textAlignment w:val="auto"/>
        <w:rPr>
          <w:rFonts w:ascii="Times New Roman" w:hAnsi="Times New Roman" w:eastAsia="宋体" w:cs="Times New Roman"/>
          <w:i/>
          <w:iCs/>
          <w:sz w:val="20"/>
          <w:szCs w:val="20"/>
          <w:highlight w:val="none"/>
          <w:lang w:val="en-US" w:eastAsia="en-US" w:bidi="ar-SA"/>
        </w:rPr>
      </w:pPr>
      <w:r>
        <w:rPr>
          <w:rFonts w:hint="eastAsia" w:ascii="Times New Roman" w:hAnsi="Times New Roman" w:eastAsia="宋体" w:cs="Times New Roman"/>
          <w:i/>
          <w:iCs/>
          <w:sz w:val="20"/>
          <w:szCs w:val="20"/>
          <w:highlight w:val="none"/>
          <w:lang w:val="en-US" w:eastAsia="zh-CN" w:bidi="ar-SA"/>
        </w:rPr>
        <w:t xml:space="preserve">FFS: </w:t>
      </w:r>
      <w:r>
        <w:rPr>
          <w:rFonts w:ascii="Times New Roman" w:hAnsi="Times New Roman" w:eastAsia="宋体" w:cs="Times New Roman"/>
          <w:i/>
          <w:iCs/>
          <w:sz w:val="20"/>
          <w:szCs w:val="20"/>
          <w:highlight w:val="none"/>
          <w:lang w:val="en-US" w:eastAsia="en-US" w:bidi="ar-SA"/>
        </w:rPr>
        <w:t xml:space="preserve">RAN4 to </w:t>
      </w:r>
      <w:r>
        <w:rPr>
          <w:rFonts w:hint="eastAsia" w:ascii="Times New Roman" w:hAnsi="Times New Roman" w:eastAsia="宋体" w:cs="Times New Roman"/>
          <w:i/>
          <w:iCs/>
          <w:sz w:val="20"/>
          <w:szCs w:val="20"/>
          <w:highlight w:val="none"/>
          <w:lang w:val="en-US" w:eastAsia="zh-CN" w:bidi="ar-SA"/>
        </w:rPr>
        <w:t xml:space="preserve">further </w:t>
      </w:r>
      <w:r>
        <w:rPr>
          <w:rFonts w:ascii="Times New Roman" w:hAnsi="Times New Roman" w:eastAsia="宋体" w:cs="Times New Roman"/>
          <w:i/>
          <w:iCs/>
          <w:sz w:val="20"/>
          <w:szCs w:val="20"/>
          <w:highlight w:val="none"/>
          <w:lang w:val="en-US" w:eastAsia="en-US" w:bidi="ar-SA"/>
        </w:rPr>
        <w:t>discuss</w:t>
      </w:r>
      <w:r>
        <w:rPr>
          <w:rFonts w:hint="eastAsia" w:ascii="Times New Roman" w:hAnsi="Times New Roman" w:eastAsia="宋体" w:cs="Times New Roman"/>
          <w:i/>
          <w:iCs/>
          <w:sz w:val="20"/>
          <w:szCs w:val="20"/>
          <w:highlight w:val="none"/>
          <w:lang w:val="en-US" w:eastAsia="en-US" w:bidi="ar-SA"/>
        </w:rPr>
        <w:t xml:space="preserve"> </w:t>
      </w:r>
      <w:r>
        <w:rPr>
          <w:rFonts w:hint="eastAsia" w:ascii="Times New Roman" w:hAnsi="Times New Roman" w:eastAsia="宋体" w:cs="Times New Roman"/>
          <w:i/>
          <w:iCs/>
          <w:sz w:val="20"/>
          <w:szCs w:val="20"/>
          <w:highlight w:val="none"/>
          <w:lang w:val="en-US" w:eastAsia="zh-CN" w:bidi="ar-SA"/>
        </w:rPr>
        <w:t xml:space="preserve">how to define </w:t>
      </w:r>
      <w:r>
        <w:rPr>
          <w:rFonts w:hint="eastAsia" w:ascii="Times New Roman" w:hAnsi="Times New Roman" w:eastAsia="宋体" w:cs="Times New Roman"/>
          <w:i/>
          <w:iCs/>
          <w:sz w:val="20"/>
          <w:szCs w:val="20"/>
          <w:highlight w:val="none"/>
          <w:lang w:val="en-US" w:eastAsia="en-US" w:bidi="ar-SA"/>
        </w:rPr>
        <w:t xml:space="preserve">the </w:t>
      </w:r>
      <w:r>
        <w:rPr>
          <w:rFonts w:ascii="Times New Roman" w:hAnsi="Times New Roman" w:eastAsia="宋体" w:cs="Times New Roman"/>
          <w:i/>
          <w:iCs/>
          <w:sz w:val="20"/>
          <w:szCs w:val="20"/>
          <w:highlight w:val="none"/>
          <w:lang w:val="en-US" w:eastAsia="en-US" w:bidi="ar-SA"/>
        </w:rPr>
        <w:t>cell re</w:t>
      </w:r>
      <w:r>
        <w:rPr>
          <w:rFonts w:hint="eastAsia" w:ascii="Times New Roman" w:hAnsi="Times New Roman" w:eastAsia="宋体" w:cs="Times New Roman"/>
          <w:i/>
          <w:iCs/>
          <w:sz w:val="20"/>
          <w:szCs w:val="20"/>
          <w:highlight w:val="none"/>
          <w:lang w:val="en-US" w:eastAsia="zh-CN" w:bidi="ar-SA"/>
        </w:rPr>
        <w:t>-</w:t>
      </w:r>
      <w:r>
        <w:rPr>
          <w:rFonts w:ascii="Times New Roman" w:hAnsi="Times New Roman" w:eastAsia="宋体" w:cs="Times New Roman"/>
          <w:i/>
          <w:iCs/>
          <w:sz w:val="20"/>
          <w:szCs w:val="20"/>
          <w:highlight w:val="none"/>
          <w:lang w:val="en-US" w:eastAsia="en-US" w:bidi="ar-SA"/>
        </w:rPr>
        <w:t>selection measurement</w:t>
      </w:r>
      <w:r>
        <w:rPr>
          <w:rFonts w:hint="eastAsia" w:ascii="Times New Roman" w:hAnsi="Times New Roman" w:eastAsia="宋体" w:cs="Times New Roman"/>
          <w:i/>
          <w:iCs/>
          <w:sz w:val="20"/>
          <w:szCs w:val="20"/>
          <w:highlight w:val="none"/>
          <w:lang w:val="en-US" w:eastAsia="en-US" w:bidi="ar-SA"/>
        </w:rPr>
        <w:t xml:space="preserve"> </w:t>
      </w:r>
      <w:r>
        <w:rPr>
          <w:rFonts w:ascii="Times New Roman" w:hAnsi="Times New Roman" w:eastAsia="宋体" w:cs="Times New Roman"/>
          <w:i/>
          <w:iCs/>
          <w:sz w:val="20"/>
          <w:szCs w:val="20"/>
          <w:highlight w:val="none"/>
          <w:lang w:val="en-US" w:eastAsia="en-US" w:bidi="ar-SA"/>
        </w:rPr>
        <w:t>requirements of inter-RAT E-UTRAN cells</w:t>
      </w:r>
      <w:r>
        <w:rPr>
          <w:rFonts w:hint="eastAsia" w:ascii="Times New Roman" w:hAnsi="Times New Roman" w:eastAsia="宋体" w:cs="Times New Roman"/>
          <w:i/>
          <w:iCs/>
          <w:sz w:val="20"/>
          <w:szCs w:val="20"/>
          <w:highlight w:val="none"/>
          <w:lang w:val="en-US" w:eastAsia="en-US" w:bidi="ar-SA"/>
        </w:rPr>
        <w:t xml:space="preserve"> with TN carrier for </w:t>
      </w:r>
      <w:r>
        <w:rPr>
          <w:rFonts w:ascii="Times New Roman" w:hAnsi="Times New Roman" w:eastAsia="宋体" w:cs="Times New Roman"/>
          <w:i/>
          <w:iCs/>
          <w:sz w:val="20"/>
          <w:szCs w:val="20"/>
          <w:highlight w:val="none"/>
          <w:lang w:val="en-US" w:eastAsia="en-US" w:bidi="ar-SA"/>
        </w:rPr>
        <w:t>1Rx and 2 Rx (e)RedCap UE</w:t>
      </w:r>
      <w:r>
        <w:rPr>
          <w:rFonts w:hint="eastAsia" w:ascii="Times New Roman" w:hAnsi="Times New Roman" w:eastAsia="宋体" w:cs="Times New Roman"/>
          <w:i/>
          <w:iCs/>
          <w:sz w:val="20"/>
          <w:szCs w:val="20"/>
          <w:highlight w:val="none"/>
          <w:lang w:val="en-US" w:eastAsia="en-US" w:bidi="ar-SA"/>
        </w:rPr>
        <w:t xml:space="preserve"> after issue1-1-1.</w:t>
      </w:r>
    </w:p>
    <w:p w14:paraId="783EB567">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Firstly, we think the enhanced cell reselection measurement will be defined for RedCap UE not configured with eDRX_IDLE cycle. Then, for the delay requirements, we think the enhanced cell reselection measurement requirement for normal UEs in NR NTN can be reused.</w:t>
      </w:r>
    </w:p>
    <w:p w14:paraId="312C8948">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For i</w:t>
      </w:r>
      <w:r>
        <w:rPr>
          <w:rFonts w:hint="eastAsia"/>
          <w:kern w:val="2"/>
          <w:sz w:val="20"/>
          <w:szCs w:val="20"/>
          <w:lang w:val="en-US" w:eastAsia="en-US"/>
        </w:rPr>
        <w:t>nter-RAT E-UTRAN cells with TN carrier</w:t>
      </w:r>
      <w:r>
        <w:rPr>
          <w:rFonts w:hint="eastAsia"/>
          <w:kern w:val="2"/>
          <w:sz w:val="20"/>
          <w:szCs w:val="20"/>
          <w:lang w:val="en-US" w:eastAsia="zh-CN"/>
        </w:rPr>
        <w:t xml:space="preserve"> cell re-selection measurement requirements, the </w:t>
      </w:r>
      <w:r>
        <w:rPr>
          <w:rFonts w:hint="eastAsia"/>
          <w:kern w:val="2"/>
          <w:sz w:val="20"/>
          <w:szCs w:val="20"/>
          <w:lang w:val="en-US" w:eastAsia="en-US"/>
        </w:rPr>
        <w:t>legacy requirements defined for normal UEs</w:t>
      </w:r>
      <w:r>
        <w:rPr>
          <w:rFonts w:hint="eastAsia"/>
          <w:kern w:val="2"/>
          <w:sz w:val="20"/>
          <w:szCs w:val="20"/>
          <w:lang w:val="en-US" w:eastAsia="zh-CN"/>
        </w:rPr>
        <w:t xml:space="preserve"> can be reused for (e)Redcap UE not configured with eDRX_IDLE cycle. For (e)Redcap UE configured with eDRX_IDLE cycle, the Redcap Inter-RAT cell reselection requirement defined in TS 38.133 </w:t>
      </w:r>
      <w:r>
        <w:rPr>
          <w:rFonts w:hint="eastAsia"/>
          <w:kern w:val="2"/>
          <w:sz w:val="20"/>
          <w:szCs w:val="20"/>
          <w:lang w:val="en-US" w:eastAsia="en-US"/>
        </w:rPr>
        <w:t>Table 4.2B.2.5-2</w:t>
      </w:r>
      <w:r>
        <w:rPr>
          <w:rFonts w:hint="eastAsia"/>
          <w:kern w:val="2"/>
          <w:sz w:val="20"/>
          <w:szCs w:val="20"/>
          <w:lang w:val="en-US" w:eastAsia="zh-CN"/>
        </w:rPr>
        <w:t xml:space="preserve"> can be reused.</w:t>
      </w:r>
    </w:p>
    <w:bookmarkEnd w:id="5"/>
    <w:p w14:paraId="604F0984">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14: Define enhanced cell reselection measurement requirement for RedCap UE not configured with eDRX_IDLE cycle, the requirement for normal UEs can be reused.</w:t>
      </w:r>
    </w:p>
    <w:p w14:paraId="5E860017">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 xml:space="preserve">Proposal 15: For inter-RAT E-UTRAN TN carrier cell re-selection measurement requirements,  reuse the </w:t>
      </w:r>
      <w:r>
        <w:rPr>
          <w:rFonts w:hint="eastAsia"/>
          <w:b/>
          <w:bCs/>
          <w:i/>
          <w:iCs/>
          <w:sz w:val="20"/>
          <w:szCs w:val="20"/>
          <w:lang w:val="en-US" w:eastAsia="en-US"/>
        </w:rPr>
        <w:t>legacy requirements defined for normal UEs</w:t>
      </w:r>
      <w:r>
        <w:rPr>
          <w:rFonts w:hint="eastAsia"/>
          <w:b/>
          <w:bCs/>
          <w:i/>
          <w:iCs/>
          <w:sz w:val="20"/>
          <w:szCs w:val="20"/>
          <w:lang w:val="en-US" w:eastAsia="zh-CN"/>
        </w:rPr>
        <w:t xml:space="preserve"> for (e)Redcap UE not configured with eDRX_IDLE cycle, reuse the Redcap Inter-RAT cell reselection requirement defined in TS 38.133 </w:t>
      </w:r>
      <w:r>
        <w:rPr>
          <w:rFonts w:hint="eastAsia"/>
          <w:b/>
          <w:bCs/>
          <w:i/>
          <w:iCs/>
          <w:sz w:val="20"/>
          <w:szCs w:val="20"/>
          <w:lang w:val="en-US" w:eastAsia="en-US"/>
        </w:rPr>
        <w:t>Table 4.2B.2.5-2</w:t>
      </w:r>
      <w:r>
        <w:rPr>
          <w:rFonts w:hint="eastAsia"/>
          <w:b/>
          <w:bCs/>
          <w:i/>
          <w:iCs/>
          <w:sz w:val="20"/>
          <w:szCs w:val="20"/>
          <w:lang w:val="en-US" w:eastAsia="zh-CN"/>
        </w:rPr>
        <w:t xml:space="preserve"> for (e)Redcap UE configured with eDRX_IDLE cycle.</w:t>
      </w:r>
    </w:p>
    <w:p w14:paraId="49F9D4A7">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eastAsia="宋体" w:cs="Times New Roman"/>
          <w:i/>
          <w:iCs/>
          <w:sz w:val="20"/>
          <w:szCs w:val="20"/>
          <w:lang w:val="en-US" w:eastAsia="zh-CN" w:bidi="ar-SA"/>
        </w:rPr>
      </w:pPr>
    </w:p>
    <w:p w14:paraId="76B101EC">
      <w:pPr>
        <w:keepNext/>
        <w:keepLines/>
        <w:pageBreakBefore w:val="0"/>
        <w:widowControl/>
        <w:kinsoku/>
        <w:wordWrap/>
        <w:topLinePunct w:val="0"/>
        <w:bidi w:val="0"/>
        <w:spacing w:before="157" w:beforeLines="50" w:after="120" w:line="240" w:lineRule="auto"/>
        <w:outlineLvl w:val="9"/>
        <w:rPr>
          <w:rFonts w:ascii="Times New Roman" w:hAnsi="Times New Roman" w:eastAsia="宋体" w:cs="Times New Roman"/>
          <w:b/>
          <w:bCs/>
          <w:i/>
          <w:iCs/>
          <w:sz w:val="20"/>
          <w:szCs w:val="28"/>
          <w:u w:val="single"/>
          <w:lang w:val="en-US" w:eastAsia="ko-KR" w:bidi="ar-SA"/>
        </w:rPr>
      </w:pPr>
      <w:r>
        <w:rPr>
          <w:rFonts w:ascii="Times New Roman" w:hAnsi="Times New Roman" w:eastAsia="宋体" w:cs="Times New Roman"/>
          <w:b/>
          <w:bCs/>
          <w:i/>
          <w:iCs/>
          <w:sz w:val="20"/>
          <w:szCs w:val="28"/>
          <w:u w:val="single"/>
          <w:lang w:val="en-US" w:eastAsia="ko-KR" w:bidi="ar-SA"/>
        </w:rPr>
        <w:t xml:space="preserve">Issue </w:t>
      </w:r>
      <w:r>
        <w:rPr>
          <w:rFonts w:hint="eastAsia" w:ascii="Times New Roman" w:hAnsi="Times New Roman" w:eastAsia="宋体" w:cs="Times New Roman"/>
          <w:b/>
          <w:bCs/>
          <w:i/>
          <w:iCs/>
          <w:sz w:val="20"/>
          <w:szCs w:val="28"/>
          <w:u w:val="single"/>
          <w:lang w:val="en-US" w:eastAsia="ko-KR" w:bidi="ar-SA"/>
        </w:rPr>
        <w:t>2</w:t>
      </w:r>
      <w:r>
        <w:rPr>
          <w:rFonts w:ascii="Times New Roman" w:hAnsi="Times New Roman" w:eastAsia="宋体" w:cs="Times New Roman"/>
          <w:b/>
          <w:bCs/>
          <w:i/>
          <w:iCs/>
          <w:sz w:val="20"/>
          <w:szCs w:val="28"/>
          <w:u w:val="single"/>
          <w:lang w:val="en-US" w:eastAsia="ko-KR" w:bidi="ar-SA"/>
        </w:rPr>
        <w:t>-</w:t>
      </w:r>
      <w:r>
        <w:rPr>
          <w:rFonts w:hint="eastAsia" w:ascii="Times New Roman" w:hAnsi="Times New Roman" w:eastAsia="宋体" w:cs="Times New Roman"/>
          <w:b/>
          <w:bCs/>
          <w:i/>
          <w:iCs/>
          <w:sz w:val="20"/>
          <w:szCs w:val="28"/>
          <w:u w:val="single"/>
          <w:lang w:val="en-US" w:eastAsia="ko-KR" w:bidi="ar-SA"/>
        </w:rPr>
        <w:t>1-5</w:t>
      </w:r>
      <w:r>
        <w:rPr>
          <w:rFonts w:ascii="Times New Roman" w:hAnsi="Times New Roman" w:eastAsia="宋体" w:cs="Times New Roman"/>
          <w:b/>
          <w:bCs/>
          <w:i/>
          <w:iCs/>
          <w:sz w:val="20"/>
          <w:szCs w:val="28"/>
          <w:u w:val="single"/>
          <w:lang w:val="en-US" w:eastAsia="ko-KR" w:bidi="ar-SA"/>
        </w:rPr>
        <w:t>: Satellite switching with re-sync</w:t>
      </w:r>
    </w:p>
    <w:p w14:paraId="7D6FF7C4">
      <w:pPr>
        <w:pageBreakBefore w:val="0"/>
        <w:widowControl/>
        <w:kinsoku/>
        <w:wordWrap/>
        <w:topLinePunct w:val="0"/>
        <w:bidi w:val="0"/>
        <w:snapToGrid w:val="0"/>
        <w:spacing w:before="157" w:beforeLines="50" w:after="120"/>
        <w:rPr>
          <w:rFonts w:eastAsia="宋体"/>
          <w:b/>
          <w:i/>
          <w:iCs/>
          <w:sz w:val="20"/>
          <w:szCs w:val="24"/>
          <w:highlight w:val="green"/>
          <w:lang w:eastAsia="zh-CN"/>
        </w:rPr>
      </w:pPr>
      <w:r>
        <w:rPr>
          <w:rFonts w:eastAsia="宋体"/>
          <w:b/>
          <w:i/>
          <w:iCs/>
          <w:sz w:val="20"/>
          <w:szCs w:val="24"/>
          <w:highlight w:val="green"/>
          <w:lang w:eastAsia="zh-CN"/>
        </w:rPr>
        <w:t>&lt; Agreement &gt;</w:t>
      </w:r>
      <w:r>
        <w:rPr>
          <w:rFonts w:hint="eastAsia" w:eastAsia="宋体"/>
          <w:b/>
          <w:i/>
          <w:iCs/>
          <w:sz w:val="20"/>
          <w:szCs w:val="24"/>
          <w:highlight w:val="green"/>
          <w:lang w:val="en-US" w:eastAsia="zh-CN"/>
        </w:rPr>
        <w:t>:</w:t>
      </w:r>
    </w:p>
    <w:p w14:paraId="273D52F5">
      <w:pPr>
        <w:numPr>
          <w:ilvl w:val="0"/>
          <w:numId w:val="6"/>
        </w:numPr>
        <w:spacing w:after="120"/>
        <w:ind w:left="720"/>
        <w:contextualSpacing w:val="0"/>
        <w:rPr>
          <w:i/>
          <w:iCs/>
          <w:sz w:val="20"/>
          <w:szCs w:val="16"/>
          <w:highlight w:val="none"/>
        </w:rPr>
      </w:pPr>
      <w:r>
        <w:rPr>
          <w:i/>
          <w:iCs/>
          <w:sz w:val="20"/>
          <w:szCs w:val="16"/>
          <w:highlight w:val="none"/>
        </w:rPr>
        <w:t xml:space="preserve">For </w:t>
      </w:r>
      <w:r>
        <w:rPr>
          <w:i/>
          <w:iCs/>
          <w:sz w:val="20"/>
          <w:szCs w:val="16"/>
          <w:highlight w:val="none"/>
          <w:lang w:val="en-GB"/>
        </w:rPr>
        <w:t xml:space="preserve">Satellite switching with re-sync requirements, </w:t>
      </w:r>
    </w:p>
    <w:p w14:paraId="0B5144AB">
      <w:pPr>
        <w:numPr>
          <w:ilvl w:val="1"/>
          <w:numId w:val="6"/>
        </w:numPr>
        <w:spacing w:after="120"/>
        <w:ind w:left="1140" w:leftChars="0"/>
        <w:contextualSpacing w:val="0"/>
        <w:rPr>
          <w:bCs/>
          <w:i/>
          <w:iCs/>
          <w:sz w:val="20"/>
          <w:szCs w:val="16"/>
          <w:highlight w:val="none"/>
          <w:lang w:eastAsia="en-US"/>
        </w:rPr>
      </w:pPr>
      <w:r>
        <w:rPr>
          <w:bCs/>
          <w:i/>
          <w:iCs/>
          <w:sz w:val="20"/>
          <w:szCs w:val="16"/>
          <w:highlight w:val="none"/>
          <w:lang w:eastAsia="en-US"/>
        </w:rPr>
        <w:t>For 2Rx (e)RedCap UEs with FR1-NTN bands, reuse the legacy Satellite switching with re-sync requirements for normal UEs</w:t>
      </w:r>
      <w:r>
        <w:rPr>
          <w:rFonts w:hint="eastAsia"/>
          <w:bCs/>
          <w:i/>
          <w:iCs/>
          <w:sz w:val="20"/>
          <w:szCs w:val="16"/>
          <w:highlight w:val="none"/>
          <w:lang w:val="en-US" w:eastAsia="zh-CN"/>
        </w:rPr>
        <w:t xml:space="preserve"> </w:t>
      </w:r>
      <w:r>
        <w:rPr>
          <w:i/>
          <w:iCs/>
          <w:sz w:val="20"/>
          <w:szCs w:val="16"/>
          <w:highlight w:val="none"/>
          <w:lang w:val="en-GB"/>
        </w:rPr>
        <w:t>(including both hard satellite switch with re-sync and soft satellite switch with re-sync)</w:t>
      </w:r>
      <w:r>
        <w:rPr>
          <w:bCs/>
          <w:i/>
          <w:iCs/>
          <w:sz w:val="20"/>
          <w:szCs w:val="16"/>
          <w:highlight w:val="none"/>
          <w:lang w:eastAsia="en-US"/>
        </w:rPr>
        <w:t>.</w:t>
      </w:r>
    </w:p>
    <w:p w14:paraId="02F2BA5F">
      <w:pPr>
        <w:numPr>
          <w:ilvl w:val="1"/>
          <w:numId w:val="6"/>
        </w:numPr>
        <w:spacing w:after="120"/>
        <w:ind w:left="1140" w:leftChars="0"/>
        <w:contextualSpacing w:val="0"/>
        <w:rPr>
          <w:bCs/>
          <w:i/>
          <w:iCs/>
          <w:sz w:val="20"/>
          <w:szCs w:val="16"/>
          <w:highlight w:val="none"/>
          <w:lang w:eastAsia="en-US"/>
        </w:rPr>
      </w:pPr>
      <w:r>
        <w:rPr>
          <w:bCs/>
          <w:i/>
          <w:iCs/>
          <w:sz w:val="20"/>
          <w:szCs w:val="16"/>
          <w:highlight w:val="none"/>
          <w:lang w:eastAsia="en-US"/>
        </w:rPr>
        <w:t>For hard Satellite switching with re-sync requirements, for 1Rx (e)RedCap UEs with FR1-NTN bands, the delays for Satellite switching with re-sync should be extended compared to those defined for 2Rx (e)RedCap UEs.</w:t>
      </w:r>
    </w:p>
    <w:p w14:paraId="705B0556">
      <w:pPr>
        <w:numPr>
          <w:ilvl w:val="2"/>
          <w:numId w:val="6"/>
        </w:numPr>
        <w:spacing w:after="120"/>
        <w:ind w:left="1560" w:leftChars="0"/>
        <w:contextualSpacing w:val="0"/>
        <w:rPr>
          <w:i/>
          <w:iCs/>
          <w:sz w:val="20"/>
          <w:szCs w:val="16"/>
          <w:highlight w:val="none"/>
        </w:rPr>
      </w:pPr>
      <w:r>
        <w:rPr>
          <w:rFonts w:eastAsia="等线"/>
          <w:i/>
          <w:iCs/>
          <w:sz w:val="20"/>
          <w:szCs w:val="16"/>
          <w:highlight w:val="none"/>
        </w:rPr>
        <w:t>Define the relaxation on T</w:t>
      </w:r>
      <w:r>
        <w:rPr>
          <w:rFonts w:eastAsia="等线"/>
          <w:i/>
          <w:iCs/>
          <w:sz w:val="20"/>
          <w:szCs w:val="16"/>
          <w:highlight w:val="none"/>
          <w:vertAlign w:val="subscript"/>
        </w:rPr>
        <w:t>search</w:t>
      </w:r>
      <w:r>
        <w:rPr>
          <w:i/>
          <w:iCs/>
          <w:sz w:val="20"/>
          <w:szCs w:val="16"/>
          <w:highlight w:val="none"/>
        </w:rPr>
        <w:t xml:space="preserve"> by extending one more </w:t>
      </w:r>
      <w:r>
        <w:rPr>
          <w:i/>
          <w:iCs/>
          <w:sz w:val="20"/>
          <w:szCs w:val="16"/>
          <w:highlight w:val="yellow"/>
        </w:rPr>
        <w:t>[SSB or SMTC]</w:t>
      </w:r>
      <w:r>
        <w:rPr>
          <w:i/>
          <w:iCs/>
          <w:sz w:val="20"/>
          <w:szCs w:val="16"/>
          <w:highlight w:val="none"/>
        </w:rPr>
        <w:t xml:space="preserve"> periodicity on the top of T</w:t>
      </w:r>
      <w:r>
        <w:rPr>
          <w:i/>
          <w:iCs/>
          <w:sz w:val="20"/>
          <w:szCs w:val="16"/>
          <w:highlight w:val="none"/>
          <w:vertAlign w:val="subscript"/>
        </w:rPr>
        <w:t>first_SSB</w:t>
      </w:r>
      <w:r>
        <w:rPr>
          <w:i/>
          <w:iCs/>
          <w:sz w:val="20"/>
          <w:szCs w:val="16"/>
          <w:highlight w:val="none"/>
        </w:rPr>
        <w:t>:</w:t>
      </w:r>
    </w:p>
    <w:p w14:paraId="3E3011B4">
      <w:pPr>
        <w:numPr>
          <w:ilvl w:val="3"/>
          <w:numId w:val="6"/>
        </w:numPr>
        <w:spacing w:after="120"/>
        <w:ind w:left="1980" w:leftChars="0"/>
        <w:contextualSpacing w:val="0"/>
        <w:rPr>
          <w:i/>
          <w:iCs/>
          <w:sz w:val="20"/>
          <w:szCs w:val="16"/>
          <w:highlight w:val="none"/>
        </w:rPr>
      </w:pPr>
      <w:r>
        <w:rPr>
          <w:i/>
          <w:iCs/>
          <w:sz w:val="20"/>
          <w:szCs w:val="16"/>
          <w:highlight w:val="none"/>
        </w:rPr>
        <w:t>T</w:t>
      </w:r>
      <w:r>
        <w:rPr>
          <w:i/>
          <w:iCs/>
          <w:sz w:val="20"/>
          <w:szCs w:val="16"/>
          <w:highlight w:val="none"/>
          <w:vertAlign w:val="subscript"/>
        </w:rPr>
        <w:t>search</w:t>
      </w:r>
      <w:r>
        <w:rPr>
          <w:i/>
          <w:iCs/>
          <w:sz w:val="20"/>
          <w:szCs w:val="16"/>
          <w:highlight w:val="none"/>
        </w:rPr>
        <w:t xml:space="preserve"> = T</w:t>
      </w:r>
      <w:r>
        <w:rPr>
          <w:i/>
          <w:iCs/>
          <w:sz w:val="20"/>
          <w:szCs w:val="16"/>
          <w:highlight w:val="none"/>
          <w:vertAlign w:val="subscript"/>
        </w:rPr>
        <w:t>first_SSB</w:t>
      </w:r>
      <w:r>
        <w:rPr>
          <w:i/>
          <w:iCs/>
          <w:sz w:val="20"/>
          <w:szCs w:val="16"/>
          <w:highlight w:val="none"/>
        </w:rPr>
        <w:t xml:space="preserve"> +</w:t>
      </w:r>
      <w:r>
        <w:rPr>
          <w:i/>
          <w:iCs/>
          <w:sz w:val="20"/>
          <w:szCs w:val="16"/>
          <w:highlight w:val="yellow"/>
        </w:rPr>
        <w:t xml:space="preserve"> [T</w:t>
      </w:r>
      <w:r>
        <w:rPr>
          <w:i/>
          <w:iCs/>
          <w:sz w:val="20"/>
          <w:szCs w:val="16"/>
          <w:highlight w:val="yellow"/>
          <w:vertAlign w:val="subscript"/>
        </w:rPr>
        <w:t>SSB</w:t>
      </w:r>
      <w:r>
        <w:rPr>
          <w:i/>
          <w:iCs/>
          <w:sz w:val="20"/>
          <w:szCs w:val="16"/>
          <w:highlight w:val="yellow"/>
        </w:rPr>
        <w:t xml:space="preserve"> or T</w:t>
      </w:r>
      <w:r>
        <w:rPr>
          <w:i/>
          <w:iCs/>
          <w:sz w:val="20"/>
          <w:szCs w:val="16"/>
          <w:highlight w:val="yellow"/>
          <w:vertAlign w:val="subscript"/>
        </w:rPr>
        <w:t>RS</w:t>
      </w:r>
      <w:r>
        <w:rPr>
          <w:i/>
          <w:iCs/>
          <w:sz w:val="20"/>
          <w:szCs w:val="16"/>
          <w:highlight w:val="yellow"/>
        </w:rPr>
        <w:t>]</w:t>
      </w:r>
      <w:r>
        <w:rPr>
          <w:i/>
          <w:iCs/>
          <w:sz w:val="20"/>
          <w:szCs w:val="16"/>
          <w:highlight w:val="none"/>
        </w:rPr>
        <w:t xml:space="preserve"> ms if UE is only required to support 1 Rx antenna, where T</w:t>
      </w:r>
      <w:r>
        <w:rPr>
          <w:i/>
          <w:iCs/>
          <w:sz w:val="20"/>
          <w:szCs w:val="16"/>
          <w:highlight w:val="none"/>
          <w:vertAlign w:val="subscript"/>
        </w:rPr>
        <w:t>SSB</w:t>
      </w:r>
      <w:r>
        <w:rPr>
          <w:i/>
          <w:iCs/>
          <w:sz w:val="20"/>
          <w:szCs w:val="16"/>
          <w:highlight w:val="none"/>
        </w:rPr>
        <w:t xml:space="preserve"> is the periodicity of the SSB of the source satellite</w:t>
      </w:r>
    </w:p>
    <w:p w14:paraId="1CA0D557">
      <w:pPr>
        <w:numPr>
          <w:ilvl w:val="1"/>
          <w:numId w:val="6"/>
        </w:numPr>
        <w:spacing w:after="120"/>
        <w:ind w:left="1140" w:leftChars="0"/>
        <w:contextualSpacing w:val="0"/>
        <w:rPr>
          <w:bCs/>
          <w:i/>
          <w:iCs/>
          <w:sz w:val="20"/>
          <w:szCs w:val="16"/>
          <w:highlight w:val="none"/>
          <w:lang w:eastAsia="en-US"/>
        </w:rPr>
      </w:pPr>
      <w:r>
        <w:rPr>
          <w:rFonts w:hint="eastAsia"/>
          <w:bCs/>
          <w:i/>
          <w:iCs/>
          <w:sz w:val="20"/>
          <w:szCs w:val="16"/>
          <w:highlight w:val="none"/>
        </w:rPr>
        <w:t>F</w:t>
      </w:r>
      <w:r>
        <w:rPr>
          <w:bCs/>
          <w:i/>
          <w:iCs/>
          <w:sz w:val="20"/>
          <w:szCs w:val="16"/>
          <w:highlight w:val="none"/>
        </w:rPr>
        <w:t>FS</w:t>
      </w:r>
      <w:r>
        <w:rPr>
          <w:rFonts w:hint="eastAsia"/>
          <w:bCs/>
          <w:i/>
          <w:iCs/>
          <w:sz w:val="20"/>
          <w:szCs w:val="16"/>
          <w:highlight w:val="none"/>
          <w:lang w:val="en-US" w:eastAsia="zh-CN"/>
        </w:rPr>
        <w:t>:</w:t>
      </w:r>
      <w:r>
        <w:rPr>
          <w:bCs/>
          <w:i/>
          <w:iCs/>
          <w:sz w:val="20"/>
          <w:szCs w:val="16"/>
          <w:highlight w:val="none"/>
        </w:rPr>
        <w:t xml:space="preserve"> whether to define soft </w:t>
      </w:r>
      <w:r>
        <w:rPr>
          <w:bCs/>
          <w:i/>
          <w:iCs/>
          <w:sz w:val="20"/>
          <w:szCs w:val="16"/>
          <w:highlight w:val="none"/>
          <w:lang w:eastAsia="en-US"/>
        </w:rPr>
        <w:t>Satellite switching with re-sync requirements for 1Rx (e)RedCap UEs with FR1-NTN bands.</w:t>
      </w:r>
    </w:p>
    <w:p w14:paraId="7E4A0868">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 xml:space="preserve">For hard satellite switching with re-sync, </w:t>
      </w:r>
      <w:r>
        <w:rPr>
          <w:rFonts w:hint="eastAsia" w:eastAsiaTheme="minorEastAsia"/>
          <w:b w:val="0"/>
          <w:bCs w:val="0"/>
          <w:i w:val="0"/>
          <w:iCs w:val="0"/>
          <w:sz w:val="20"/>
          <w:szCs w:val="20"/>
          <w:lang w:val="en-GB" w:eastAsia="zh-CN"/>
        </w:rPr>
        <w:t>1</w:t>
      </w:r>
      <w:r>
        <w:rPr>
          <w:rFonts w:eastAsiaTheme="minorEastAsia"/>
          <w:b w:val="0"/>
          <w:bCs w:val="0"/>
          <w:i w:val="0"/>
          <w:iCs w:val="0"/>
          <w:sz w:val="20"/>
          <w:szCs w:val="20"/>
          <w:lang w:val="en-GB" w:eastAsia="zh-CN"/>
        </w:rPr>
        <w:t>Rx</w:t>
      </w:r>
      <w:r>
        <w:rPr>
          <w:rFonts w:hint="eastAsia" w:eastAsiaTheme="minorEastAsia"/>
          <w:b w:val="0"/>
          <w:bCs w:val="0"/>
          <w:i w:val="0"/>
          <w:iCs w:val="0"/>
          <w:sz w:val="20"/>
          <w:szCs w:val="20"/>
          <w:lang w:val="en-GB" w:eastAsia="zh-CN"/>
        </w:rPr>
        <w:t xml:space="preserve"> </w:t>
      </w:r>
      <w:r>
        <w:rPr>
          <w:rFonts w:eastAsiaTheme="minorEastAsia"/>
          <w:b w:val="0"/>
          <w:bCs w:val="0"/>
          <w:i w:val="0"/>
          <w:iCs w:val="0"/>
          <w:sz w:val="20"/>
          <w:szCs w:val="20"/>
          <w:lang w:val="en-GB" w:eastAsia="zh-CN"/>
        </w:rPr>
        <w:t xml:space="preserve">(e)RedCap UEs </w:t>
      </w:r>
      <w:r>
        <w:rPr>
          <w:rFonts w:hint="eastAsia"/>
          <w:b w:val="0"/>
          <w:bCs w:val="0"/>
          <w:i w:val="0"/>
          <w:iCs w:val="0"/>
          <w:sz w:val="20"/>
          <w:szCs w:val="20"/>
          <w:lang w:val="en-US" w:eastAsia="zh-CN"/>
        </w:rPr>
        <w:t>should have one more sample to search the target cell. We prefer to extend the T</w:t>
      </w:r>
      <w:r>
        <w:rPr>
          <w:rFonts w:hint="eastAsia"/>
          <w:b w:val="0"/>
          <w:bCs w:val="0"/>
          <w:i w:val="0"/>
          <w:iCs w:val="0"/>
          <w:sz w:val="20"/>
          <w:szCs w:val="20"/>
          <w:vertAlign w:val="subscript"/>
          <w:lang w:val="en-US" w:eastAsia="zh-CN"/>
        </w:rPr>
        <w:t>search</w:t>
      </w:r>
      <w:r>
        <w:rPr>
          <w:rFonts w:hint="eastAsia"/>
          <w:b w:val="0"/>
          <w:bCs w:val="0"/>
          <w:i w:val="0"/>
          <w:iCs w:val="0"/>
          <w:sz w:val="20"/>
          <w:szCs w:val="20"/>
          <w:lang w:val="en-US" w:eastAsia="zh-CN"/>
        </w:rPr>
        <w:t xml:space="preserve"> by one more SSB periodicity to minimize the satellite switching delay.</w:t>
      </w:r>
    </w:p>
    <w:p w14:paraId="1C705A12">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For soft satellite switching with re-sync, from UE perspective, whether UE support soft satellite switching depends on its capability, same with normal UE and 2Rx Redcap UE. From network perspective, although the T</w:t>
      </w:r>
      <w:r>
        <w:rPr>
          <w:rFonts w:hint="eastAsia"/>
          <w:b w:val="0"/>
          <w:bCs w:val="0"/>
          <w:i w:val="0"/>
          <w:iCs w:val="0"/>
          <w:sz w:val="20"/>
          <w:szCs w:val="20"/>
          <w:vertAlign w:val="subscript"/>
          <w:lang w:val="en-US" w:eastAsia="zh-CN"/>
        </w:rPr>
        <w:t>search</w:t>
      </w:r>
      <w:r>
        <w:rPr>
          <w:rFonts w:hint="eastAsia"/>
          <w:b w:val="0"/>
          <w:bCs w:val="0"/>
          <w:i w:val="0"/>
          <w:iCs w:val="0"/>
          <w:sz w:val="20"/>
          <w:szCs w:val="20"/>
          <w:lang w:val="en-US" w:eastAsia="zh-CN"/>
        </w:rPr>
        <w:t xml:space="preserve"> will be extended comparing with 2Rx Redcap UE, the scheduling strategy keeps same with other cases during </w:t>
      </w:r>
      <w:r>
        <w:rPr>
          <w:i w:val="0"/>
          <w:iCs/>
          <w:sz w:val="20"/>
          <w:szCs w:val="20"/>
        </w:rPr>
        <w:t>t-service</w:t>
      </w:r>
      <w:r>
        <w:rPr>
          <w:rFonts w:hint="eastAsia"/>
          <w:i w:val="0"/>
          <w:iCs/>
          <w:sz w:val="20"/>
          <w:szCs w:val="20"/>
          <w:lang w:val="en-US" w:eastAsia="zh-CN"/>
        </w:rPr>
        <w:t>Start to t</w:t>
      </w:r>
      <w:r>
        <w:rPr>
          <w:i w:val="0"/>
          <w:iCs/>
          <w:sz w:val="20"/>
          <w:szCs w:val="20"/>
        </w:rPr>
        <w:t>-</w:t>
      </w:r>
      <w:r>
        <w:rPr>
          <w:rFonts w:hint="eastAsia"/>
          <w:i w:val="0"/>
          <w:iCs/>
          <w:sz w:val="20"/>
          <w:szCs w:val="20"/>
          <w:lang w:val="en-US" w:eastAsia="zh-CN"/>
        </w:rPr>
        <w:t>s</w:t>
      </w:r>
      <w:r>
        <w:rPr>
          <w:i w:val="0"/>
          <w:iCs/>
          <w:sz w:val="20"/>
          <w:szCs w:val="20"/>
        </w:rPr>
        <w:t>evice</w:t>
      </w:r>
      <w:r>
        <w:rPr>
          <w:rFonts w:hint="eastAsia"/>
          <w:i w:val="0"/>
          <w:iCs/>
          <w:sz w:val="20"/>
          <w:szCs w:val="20"/>
          <w:lang w:val="en-US" w:eastAsia="zh-CN"/>
        </w:rPr>
        <w:t xml:space="preserve">. Therefore, the 1Rx case is same with legacy case from both UE and network perspective, the requirement should also be defined. Same analysis as hard satellite switching, </w:t>
      </w:r>
      <w:r>
        <w:rPr>
          <w:rFonts w:hint="eastAsia"/>
          <w:b w:val="0"/>
          <w:bCs w:val="0"/>
          <w:i w:val="0"/>
          <w:iCs w:val="0"/>
          <w:sz w:val="20"/>
          <w:szCs w:val="20"/>
          <w:lang w:val="en-US" w:eastAsia="zh-CN"/>
        </w:rPr>
        <w:t>prefer to extend the T</w:t>
      </w:r>
      <w:r>
        <w:rPr>
          <w:rFonts w:hint="eastAsia"/>
          <w:b w:val="0"/>
          <w:bCs w:val="0"/>
          <w:i w:val="0"/>
          <w:iCs w:val="0"/>
          <w:sz w:val="20"/>
          <w:szCs w:val="20"/>
          <w:vertAlign w:val="subscript"/>
          <w:lang w:val="en-US" w:eastAsia="zh-CN"/>
        </w:rPr>
        <w:t>search</w:t>
      </w:r>
      <w:r>
        <w:rPr>
          <w:rFonts w:hint="eastAsia"/>
          <w:b w:val="0"/>
          <w:bCs w:val="0"/>
          <w:i w:val="0"/>
          <w:iCs w:val="0"/>
          <w:sz w:val="20"/>
          <w:szCs w:val="20"/>
          <w:lang w:val="en-US" w:eastAsia="zh-CN"/>
        </w:rPr>
        <w:t xml:space="preserve"> by one more SSB periodicity to minimize the satellite switching delay.</w:t>
      </w:r>
    </w:p>
    <w:p w14:paraId="08FFF430">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b/>
          <w:bCs/>
          <w:i/>
          <w:iCs/>
          <w:sz w:val="20"/>
          <w:szCs w:val="16"/>
          <w:highlight w:val="none"/>
          <w:vertAlign w:val="subscript"/>
        </w:rPr>
      </w:pPr>
      <w:r>
        <w:rPr>
          <w:rFonts w:hint="eastAsia"/>
          <w:b/>
          <w:bCs/>
          <w:i/>
          <w:iCs/>
          <w:sz w:val="20"/>
          <w:szCs w:val="20"/>
          <w:highlight w:val="none"/>
          <w:lang w:val="en-US" w:eastAsia="zh-CN"/>
        </w:rPr>
        <w:t xml:space="preserve">Proposal 16: For hard satellite switching with re-sync requirement of </w:t>
      </w:r>
      <w:r>
        <w:rPr>
          <w:rFonts w:hint="eastAsia" w:eastAsiaTheme="minorEastAsia"/>
          <w:b/>
          <w:bCs/>
          <w:i/>
          <w:iCs/>
          <w:sz w:val="20"/>
          <w:szCs w:val="20"/>
          <w:highlight w:val="none"/>
          <w:lang w:val="en-GB" w:eastAsia="zh-CN"/>
        </w:rPr>
        <w:t>1</w:t>
      </w:r>
      <w:r>
        <w:rPr>
          <w:rFonts w:eastAsiaTheme="minorEastAsia"/>
          <w:b/>
          <w:bCs/>
          <w:i/>
          <w:iCs/>
          <w:sz w:val="20"/>
          <w:szCs w:val="20"/>
          <w:highlight w:val="none"/>
          <w:lang w:val="en-GB" w:eastAsia="zh-CN"/>
        </w:rPr>
        <w:t>Rx</w:t>
      </w:r>
      <w:r>
        <w:rPr>
          <w:rFonts w:hint="eastAsia" w:eastAsiaTheme="minorEastAsia"/>
          <w:b/>
          <w:bCs/>
          <w:i/>
          <w:iCs/>
          <w:sz w:val="20"/>
          <w:szCs w:val="20"/>
          <w:highlight w:val="none"/>
          <w:lang w:val="en-GB" w:eastAsia="zh-CN"/>
        </w:rPr>
        <w:t xml:space="preserve"> </w:t>
      </w:r>
      <w:r>
        <w:rPr>
          <w:rFonts w:eastAsiaTheme="minorEastAsia"/>
          <w:b/>
          <w:bCs/>
          <w:i/>
          <w:iCs/>
          <w:sz w:val="20"/>
          <w:szCs w:val="20"/>
          <w:highlight w:val="none"/>
          <w:lang w:val="en-GB" w:eastAsia="zh-CN"/>
        </w:rPr>
        <w:t>(e)RedCap UEs</w:t>
      </w:r>
      <w:r>
        <w:rPr>
          <w:rFonts w:hint="eastAsia"/>
          <w:b/>
          <w:bCs/>
          <w:i/>
          <w:iCs/>
          <w:sz w:val="20"/>
          <w:szCs w:val="20"/>
          <w:highlight w:val="none"/>
          <w:lang w:val="en-US" w:eastAsia="zh-CN"/>
        </w:rPr>
        <w:t xml:space="preserve">, </w:t>
      </w:r>
      <w:r>
        <w:rPr>
          <w:rFonts w:hint="eastAsia" w:eastAsia="等线"/>
          <w:b/>
          <w:bCs/>
          <w:i/>
          <w:iCs/>
          <w:sz w:val="20"/>
          <w:szCs w:val="16"/>
          <w:highlight w:val="none"/>
          <w:lang w:val="en-US" w:eastAsia="zh-CN"/>
        </w:rPr>
        <w:t>d</w:t>
      </w:r>
      <w:r>
        <w:rPr>
          <w:rFonts w:eastAsia="等线"/>
          <w:b/>
          <w:bCs/>
          <w:i/>
          <w:iCs/>
          <w:sz w:val="20"/>
          <w:szCs w:val="16"/>
          <w:highlight w:val="none"/>
        </w:rPr>
        <w:t>efine the relaxation on T</w:t>
      </w:r>
      <w:r>
        <w:rPr>
          <w:rFonts w:eastAsia="等线"/>
          <w:b/>
          <w:bCs/>
          <w:i/>
          <w:iCs/>
          <w:sz w:val="20"/>
          <w:szCs w:val="16"/>
          <w:highlight w:val="none"/>
          <w:vertAlign w:val="subscript"/>
        </w:rPr>
        <w:t>search</w:t>
      </w:r>
      <w:r>
        <w:rPr>
          <w:b/>
          <w:bCs/>
          <w:i/>
          <w:iCs/>
          <w:sz w:val="20"/>
          <w:szCs w:val="16"/>
          <w:highlight w:val="none"/>
        </w:rPr>
        <w:t xml:space="preserve"> by extending one more SSB</w:t>
      </w:r>
      <w:r>
        <w:rPr>
          <w:rFonts w:hint="eastAsia"/>
          <w:b/>
          <w:bCs/>
          <w:i/>
          <w:iCs/>
          <w:sz w:val="20"/>
          <w:szCs w:val="16"/>
          <w:highlight w:val="none"/>
          <w:lang w:val="en-US" w:eastAsia="zh-CN"/>
        </w:rPr>
        <w:t xml:space="preserve"> </w:t>
      </w:r>
      <w:r>
        <w:rPr>
          <w:b/>
          <w:bCs/>
          <w:i/>
          <w:iCs/>
          <w:sz w:val="20"/>
          <w:szCs w:val="16"/>
          <w:highlight w:val="none"/>
        </w:rPr>
        <w:t>periodicity on the top of T</w:t>
      </w:r>
      <w:r>
        <w:rPr>
          <w:b/>
          <w:bCs/>
          <w:i/>
          <w:iCs/>
          <w:sz w:val="20"/>
          <w:szCs w:val="16"/>
          <w:highlight w:val="none"/>
          <w:vertAlign w:val="subscript"/>
        </w:rPr>
        <w:t>first_SSB</w:t>
      </w:r>
    </w:p>
    <w:p w14:paraId="3D9E9B62">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i/>
          <w:iCs/>
          <w:sz w:val="20"/>
          <w:szCs w:val="20"/>
          <w:highlight w:val="none"/>
          <w:u w:val="single"/>
          <w:lang w:val="en-US" w:eastAsia="ko-KR"/>
        </w:rPr>
      </w:pPr>
      <w:r>
        <w:rPr>
          <w:rFonts w:hint="eastAsia"/>
          <w:b/>
          <w:bCs/>
          <w:i/>
          <w:iCs/>
          <w:sz w:val="20"/>
          <w:szCs w:val="20"/>
          <w:highlight w:val="none"/>
          <w:lang w:val="en-US" w:eastAsia="zh-CN"/>
        </w:rPr>
        <w:t xml:space="preserve">Proposal 17: Define soft satellite switching with re-sync requirement of </w:t>
      </w:r>
      <w:r>
        <w:rPr>
          <w:rFonts w:hint="eastAsia" w:eastAsiaTheme="minorEastAsia"/>
          <w:b/>
          <w:bCs/>
          <w:i/>
          <w:iCs/>
          <w:sz w:val="20"/>
          <w:szCs w:val="20"/>
          <w:highlight w:val="none"/>
          <w:lang w:val="en-GB" w:eastAsia="zh-CN"/>
        </w:rPr>
        <w:t>1</w:t>
      </w:r>
      <w:r>
        <w:rPr>
          <w:rFonts w:eastAsiaTheme="minorEastAsia"/>
          <w:b/>
          <w:bCs/>
          <w:i/>
          <w:iCs/>
          <w:sz w:val="20"/>
          <w:szCs w:val="20"/>
          <w:highlight w:val="none"/>
          <w:lang w:val="en-GB" w:eastAsia="zh-CN"/>
        </w:rPr>
        <w:t>Rx</w:t>
      </w:r>
      <w:r>
        <w:rPr>
          <w:rFonts w:hint="eastAsia" w:eastAsiaTheme="minorEastAsia"/>
          <w:b/>
          <w:bCs/>
          <w:i/>
          <w:iCs/>
          <w:sz w:val="20"/>
          <w:szCs w:val="20"/>
          <w:highlight w:val="none"/>
          <w:lang w:val="en-GB" w:eastAsia="zh-CN"/>
        </w:rPr>
        <w:t xml:space="preserve"> </w:t>
      </w:r>
      <w:r>
        <w:rPr>
          <w:rFonts w:eastAsiaTheme="minorEastAsia"/>
          <w:b/>
          <w:bCs/>
          <w:i/>
          <w:iCs/>
          <w:sz w:val="20"/>
          <w:szCs w:val="20"/>
          <w:highlight w:val="none"/>
          <w:lang w:val="en-GB" w:eastAsia="zh-CN"/>
        </w:rPr>
        <w:t>(e)RedCap UEs</w:t>
      </w:r>
      <w:r>
        <w:rPr>
          <w:rFonts w:hint="eastAsia"/>
          <w:b/>
          <w:bCs/>
          <w:i/>
          <w:iCs/>
          <w:sz w:val="20"/>
          <w:szCs w:val="20"/>
          <w:highlight w:val="none"/>
          <w:lang w:val="en-US" w:eastAsia="zh-CN"/>
        </w:rPr>
        <w:t xml:space="preserve">, </w:t>
      </w:r>
      <w:r>
        <w:rPr>
          <w:rFonts w:hint="eastAsia" w:eastAsia="等线"/>
          <w:b/>
          <w:bCs/>
          <w:i/>
          <w:iCs/>
          <w:sz w:val="20"/>
          <w:szCs w:val="16"/>
          <w:highlight w:val="none"/>
          <w:lang w:val="en-US" w:eastAsia="zh-CN"/>
        </w:rPr>
        <w:t>d</w:t>
      </w:r>
      <w:r>
        <w:rPr>
          <w:rFonts w:eastAsia="等线"/>
          <w:b/>
          <w:bCs/>
          <w:i/>
          <w:iCs/>
          <w:sz w:val="20"/>
          <w:szCs w:val="16"/>
          <w:highlight w:val="none"/>
        </w:rPr>
        <w:t>efine the relaxation on T</w:t>
      </w:r>
      <w:r>
        <w:rPr>
          <w:rFonts w:eastAsia="等线"/>
          <w:b/>
          <w:bCs/>
          <w:i/>
          <w:iCs/>
          <w:sz w:val="20"/>
          <w:szCs w:val="16"/>
          <w:highlight w:val="none"/>
          <w:vertAlign w:val="subscript"/>
        </w:rPr>
        <w:t>search</w:t>
      </w:r>
      <w:r>
        <w:rPr>
          <w:b/>
          <w:bCs/>
          <w:i/>
          <w:iCs/>
          <w:sz w:val="20"/>
          <w:szCs w:val="16"/>
          <w:highlight w:val="none"/>
        </w:rPr>
        <w:t xml:space="preserve"> by extending one more SSB</w:t>
      </w:r>
      <w:r>
        <w:rPr>
          <w:rFonts w:hint="eastAsia"/>
          <w:b/>
          <w:bCs/>
          <w:i/>
          <w:iCs/>
          <w:sz w:val="20"/>
          <w:szCs w:val="16"/>
          <w:highlight w:val="none"/>
          <w:lang w:val="en-US" w:eastAsia="zh-CN"/>
        </w:rPr>
        <w:t xml:space="preserve"> </w:t>
      </w:r>
      <w:r>
        <w:rPr>
          <w:b/>
          <w:bCs/>
          <w:i/>
          <w:iCs/>
          <w:sz w:val="20"/>
          <w:szCs w:val="16"/>
          <w:highlight w:val="none"/>
        </w:rPr>
        <w:t>periodicity on the top of T</w:t>
      </w:r>
      <w:r>
        <w:rPr>
          <w:b/>
          <w:bCs/>
          <w:i/>
          <w:iCs/>
          <w:sz w:val="20"/>
          <w:szCs w:val="16"/>
          <w:highlight w:val="none"/>
          <w:vertAlign w:val="subscript"/>
        </w:rPr>
        <w:t>first_SSB</w:t>
      </w:r>
    </w:p>
    <w:p w14:paraId="750726FE">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p>
    <w:p w14:paraId="596BAFDA">
      <w:pPr>
        <w:outlineLvl w:val="9"/>
        <w:rPr>
          <w:rFonts w:hint="eastAsia"/>
          <w:b/>
          <w:i/>
          <w:iCs/>
          <w:sz w:val="20"/>
          <w:szCs w:val="20"/>
          <w:highlight w:val="none"/>
          <w:u w:val="single"/>
          <w:lang w:val="en-GB" w:eastAsia="ko-KR"/>
        </w:rPr>
      </w:pPr>
      <w:r>
        <w:rPr>
          <w:rFonts w:hint="eastAsia"/>
          <w:b/>
          <w:i/>
          <w:iCs/>
          <w:sz w:val="20"/>
          <w:szCs w:val="20"/>
          <w:highlight w:val="none"/>
          <w:u w:val="single"/>
          <w:lang w:val="en-US" w:eastAsia="ko-KR"/>
        </w:rPr>
        <w:t>Issue 2-4-1: L1/L3 Measurement requirements for 1Rx/2Rx (e)RedCap UEs with FR1-NTN</w:t>
      </w:r>
    </w:p>
    <w:p w14:paraId="00AB6895">
      <w:pPr>
        <w:keepNext w:val="0"/>
        <w:keepLines w:val="0"/>
        <w:pageBreakBefore w:val="0"/>
        <w:widowControl/>
        <w:kinsoku/>
        <w:wordWrap/>
        <w:overflowPunct/>
        <w:topLinePunct w:val="0"/>
        <w:autoSpaceDE/>
        <w:autoSpaceDN/>
        <w:bidi w:val="0"/>
        <w:adjustRightInd/>
        <w:snapToGrid/>
        <w:spacing w:after="60"/>
        <w:textAlignment w:val="auto"/>
        <w:rPr>
          <w:rFonts w:eastAsia="宋体"/>
          <w:b/>
          <w:i/>
          <w:iCs/>
          <w:sz w:val="20"/>
          <w:szCs w:val="20"/>
          <w:lang w:eastAsia="zh-CN"/>
        </w:rPr>
      </w:pPr>
      <w:r>
        <w:rPr>
          <w:rFonts w:eastAsia="宋体"/>
          <w:b/>
          <w:i/>
          <w:iCs/>
          <w:sz w:val="20"/>
          <w:szCs w:val="20"/>
          <w:lang w:eastAsia="en-US"/>
        </w:rPr>
        <w:t>&lt;Way Forward&gt;</w:t>
      </w:r>
      <w:r>
        <w:rPr>
          <w:rFonts w:hint="eastAsia" w:eastAsia="宋体"/>
          <w:b/>
          <w:i/>
          <w:iCs/>
          <w:sz w:val="20"/>
          <w:szCs w:val="20"/>
          <w:lang w:eastAsia="zh-CN"/>
        </w:rPr>
        <w:t>:</w:t>
      </w:r>
    </w:p>
    <w:p w14:paraId="0EED06F4">
      <w:pPr>
        <w:numPr>
          <w:ilvl w:val="0"/>
          <w:numId w:val="6"/>
        </w:numPr>
        <w:spacing w:after="120"/>
        <w:ind w:left="516" w:hanging="360"/>
        <w:rPr>
          <w:rFonts w:ascii="Times New Roman" w:hAnsi="Times New Roman" w:cs="Times New Roman"/>
          <w:i/>
          <w:iCs/>
          <w:sz w:val="20"/>
          <w:szCs w:val="20"/>
        </w:rPr>
      </w:pPr>
      <w:r>
        <w:rPr>
          <w:rFonts w:ascii="Times New Roman" w:hAnsi="Times New Roman" w:cs="Times New Roman"/>
          <w:i/>
          <w:iCs/>
          <w:sz w:val="20"/>
          <w:szCs w:val="20"/>
        </w:rPr>
        <w:t xml:space="preserve">For 2Rx (e)RedCap UEs with FR1-NTN bands, </w:t>
      </w:r>
    </w:p>
    <w:p w14:paraId="0557156D">
      <w:pPr>
        <w:numPr>
          <w:ilvl w:val="1"/>
          <w:numId w:val="6"/>
        </w:numPr>
        <w:spacing w:after="120"/>
        <w:ind w:left="1236" w:leftChars="0" w:hanging="360" w:firstLineChars="0"/>
        <w:rPr>
          <w:rFonts w:ascii="Times New Roman" w:hAnsi="Times New Roman" w:cs="Times New Roman" w:eastAsiaTheme="minorEastAsia"/>
          <w:i/>
          <w:iCs/>
          <w:sz w:val="20"/>
          <w:szCs w:val="20"/>
        </w:rPr>
      </w:pPr>
      <w:r>
        <w:rPr>
          <w:rFonts w:ascii="Times New Roman" w:hAnsi="Times New Roman" w:cs="Times New Roman"/>
          <w:i/>
          <w:iCs/>
          <w:sz w:val="20"/>
          <w:szCs w:val="20"/>
        </w:rPr>
        <w:t xml:space="preserve">Proposal </w:t>
      </w:r>
      <w:r>
        <w:rPr>
          <w:rFonts w:hint="eastAsia" w:ascii="Times New Roman" w:hAnsi="Times New Roman" w:cs="Times New Roman"/>
          <w:i/>
          <w:iCs/>
          <w:sz w:val="20"/>
          <w:szCs w:val="20"/>
        </w:rPr>
        <w:t>1</w:t>
      </w:r>
      <w:r>
        <w:rPr>
          <w:rFonts w:ascii="Times New Roman" w:hAnsi="Times New Roman" w:cs="Times New Roman"/>
          <w:i/>
          <w:iCs/>
          <w:sz w:val="20"/>
          <w:szCs w:val="20"/>
        </w:rPr>
        <w:t xml:space="preserve"> (</w:t>
      </w:r>
      <w:r>
        <w:rPr>
          <w:rFonts w:hint="eastAsia" w:ascii="Times New Roman" w:hAnsi="Times New Roman" w:cs="Times New Roman"/>
          <w:i/>
          <w:iCs/>
          <w:sz w:val="20"/>
          <w:szCs w:val="20"/>
        </w:rPr>
        <w:t>CATT, Samsung, CMCC, HW</w:t>
      </w:r>
      <w:r>
        <w:rPr>
          <w:rFonts w:ascii="Times New Roman" w:hAnsi="Times New Roman" w:cs="Times New Roman"/>
          <w:i/>
          <w:iCs/>
          <w:sz w:val="20"/>
          <w:szCs w:val="20"/>
        </w:rPr>
        <w:t>):</w:t>
      </w:r>
      <w:r>
        <w:rPr>
          <w:rFonts w:hint="eastAsia" w:ascii="Times New Roman" w:hAnsi="Times New Roman" w:cs="Times New Roman"/>
          <w:i/>
          <w:iCs/>
          <w:sz w:val="20"/>
          <w:szCs w:val="20"/>
        </w:rPr>
        <w:t xml:space="preserve"> </w:t>
      </w:r>
      <w:r>
        <w:rPr>
          <w:rFonts w:hint="eastAsia" w:ascii="Times New Roman" w:hAnsi="Times New Roman" w:cs="Times New Roman" w:eastAsiaTheme="minorEastAsia"/>
          <w:i/>
          <w:iCs/>
          <w:sz w:val="20"/>
          <w:szCs w:val="20"/>
        </w:rPr>
        <w:t xml:space="preserve">RAN4 to </w:t>
      </w:r>
      <w:r>
        <w:rPr>
          <w:rFonts w:ascii="Times New Roman" w:hAnsi="Times New Roman" w:cs="Times New Roman" w:eastAsiaTheme="minorEastAsia"/>
          <w:i/>
          <w:iCs/>
          <w:sz w:val="20"/>
          <w:szCs w:val="20"/>
        </w:rPr>
        <w:t xml:space="preserve">reuse the legacy FR1-NTN measurement requirements </w:t>
      </w:r>
      <w:r>
        <w:rPr>
          <w:rFonts w:hint="eastAsia" w:ascii="Times New Roman" w:hAnsi="Times New Roman" w:cs="Times New Roman" w:eastAsiaTheme="minorEastAsia"/>
          <w:i/>
          <w:iCs/>
          <w:sz w:val="20"/>
          <w:szCs w:val="20"/>
        </w:rPr>
        <w:t xml:space="preserve">defined </w:t>
      </w:r>
      <w:r>
        <w:rPr>
          <w:rFonts w:ascii="Times New Roman" w:hAnsi="Times New Roman" w:cs="Times New Roman" w:eastAsiaTheme="minorEastAsia"/>
          <w:i/>
          <w:iCs/>
          <w:sz w:val="20"/>
          <w:szCs w:val="20"/>
        </w:rPr>
        <w:t xml:space="preserve">for normal </w:t>
      </w:r>
      <w:r>
        <w:rPr>
          <w:rFonts w:ascii="Times New Roman" w:hAnsi="Times New Roman" w:cs="Times New Roman" w:eastAsiaTheme="minorEastAsia"/>
          <w:i/>
          <w:iCs/>
          <w:sz w:val="20"/>
          <w:szCs w:val="20"/>
          <w:highlight w:val="none"/>
        </w:rPr>
        <w:t>UEs</w:t>
      </w:r>
      <w:r>
        <w:rPr>
          <w:rFonts w:hint="eastAsia" w:ascii="Times New Roman" w:hAnsi="Times New Roman" w:cs="Times New Roman" w:eastAsiaTheme="minorEastAsia"/>
          <w:i/>
          <w:iCs/>
          <w:sz w:val="20"/>
          <w:szCs w:val="20"/>
          <w:highlight w:val="none"/>
        </w:rPr>
        <w:t xml:space="preserve"> </w:t>
      </w:r>
      <w:r>
        <w:rPr>
          <w:rFonts w:ascii="Times New Roman" w:hAnsi="Times New Roman" w:cs="Times New Roman" w:eastAsiaTheme="minorEastAsia"/>
          <w:i/>
          <w:iCs/>
          <w:sz w:val="20"/>
          <w:szCs w:val="20"/>
          <w:highlight w:val="none"/>
        </w:rPr>
        <w:t>in high level</w:t>
      </w:r>
      <w:r>
        <w:rPr>
          <w:rFonts w:hint="eastAsia" w:ascii="Times New Roman" w:hAnsi="Times New Roman" w:cs="Times New Roman" w:eastAsiaTheme="minorEastAsia"/>
          <w:i/>
          <w:iCs/>
          <w:sz w:val="20"/>
          <w:szCs w:val="20"/>
          <w:highlight w:val="none"/>
        </w:rPr>
        <w:t>.</w:t>
      </w:r>
    </w:p>
    <w:p w14:paraId="1F46A2D9">
      <w:pPr>
        <w:numPr>
          <w:ilvl w:val="2"/>
          <w:numId w:val="6"/>
        </w:numPr>
        <w:spacing w:after="120"/>
        <w:ind w:left="1956" w:leftChars="0" w:hanging="360" w:firstLineChars="0"/>
        <w:rPr>
          <w:rFonts w:ascii="Times New Roman" w:hAnsi="Times New Roman" w:cs="Times New Roman" w:eastAsiaTheme="minorEastAsia"/>
          <w:i/>
          <w:iCs/>
          <w:sz w:val="20"/>
          <w:highlight w:val="none"/>
        </w:rPr>
      </w:pPr>
      <w:r>
        <w:rPr>
          <w:rFonts w:hint="eastAsia" w:ascii="Times New Roman" w:hAnsi="Times New Roman" w:cs="Times New Roman" w:eastAsiaTheme="minorEastAsia"/>
          <w:i/>
          <w:iCs/>
          <w:sz w:val="20"/>
          <w:highlight w:val="none"/>
        </w:rPr>
        <w:t>D</w:t>
      </w:r>
      <w:r>
        <w:rPr>
          <w:rFonts w:ascii="Times New Roman" w:hAnsi="Times New Roman" w:cs="Times New Roman" w:eastAsiaTheme="minorEastAsia"/>
          <w:i/>
          <w:iCs/>
          <w:sz w:val="20"/>
          <w:highlight w:val="none"/>
        </w:rPr>
        <w:t xml:space="preserve">epend on </w:t>
      </w:r>
      <w:r>
        <w:rPr>
          <w:rFonts w:hint="eastAsia" w:ascii="Times New Roman" w:hAnsi="Times New Roman" w:cs="Times New Roman" w:eastAsiaTheme="minorEastAsia"/>
          <w:i/>
          <w:iCs/>
          <w:sz w:val="20"/>
          <w:highlight w:val="none"/>
        </w:rPr>
        <w:t xml:space="preserve">the </w:t>
      </w:r>
      <w:r>
        <w:rPr>
          <w:rFonts w:ascii="Times New Roman" w:hAnsi="Times New Roman" w:cs="Times New Roman" w:eastAsiaTheme="minorEastAsia"/>
          <w:i/>
          <w:iCs/>
          <w:sz w:val="20"/>
          <w:highlight w:val="none"/>
        </w:rPr>
        <w:t>support</w:t>
      </w:r>
      <w:r>
        <w:rPr>
          <w:rFonts w:hint="eastAsia" w:ascii="Times New Roman" w:hAnsi="Times New Roman" w:cs="Times New Roman" w:eastAsiaTheme="minorEastAsia"/>
          <w:i/>
          <w:iCs/>
          <w:sz w:val="20"/>
          <w:highlight w:val="none"/>
        </w:rPr>
        <w:t>ed</w:t>
      </w:r>
      <w:r>
        <w:rPr>
          <w:rFonts w:ascii="Times New Roman" w:hAnsi="Times New Roman" w:cs="Times New Roman" w:eastAsiaTheme="minorEastAsia"/>
          <w:i/>
          <w:iCs/>
          <w:sz w:val="20"/>
          <w:highlight w:val="none"/>
        </w:rPr>
        <w:t xml:space="preserve"> UE capabilit</w:t>
      </w:r>
      <w:r>
        <w:rPr>
          <w:rFonts w:hint="eastAsia" w:ascii="Times New Roman" w:hAnsi="Times New Roman" w:cs="Times New Roman" w:eastAsiaTheme="minorEastAsia"/>
          <w:i/>
          <w:iCs/>
          <w:sz w:val="20"/>
          <w:highlight w:val="none"/>
        </w:rPr>
        <w:t xml:space="preserve">ies </w:t>
      </w:r>
      <w:r>
        <w:rPr>
          <w:rFonts w:ascii="Times New Roman" w:hAnsi="Times New Roman" w:cs="Times New Roman" w:eastAsiaTheme="minorEastAsia"/>
          <w:i/>
          <w:iCs/>
          <w:sz w:val="20"/>
          <w:highlight w:val="none"/>
        </w:rPr>
        <w:t xml:space="preserve">(e.g., multiple SMTC),, </w:t>
      </w:r>
      <w:r>
        <w:rPr>
          <w:rFonts w:hint="eastAsia" w:ascii="Times New Roman" w:hAnsi="Times New Roman" w:cs="Times New Roman" w:eastAsiaTheme="minorEastAsia"/>
          <w:i/>
          <w:iCs/>
          <w:sz w:val="20"/>
          <w:highlight w:val="none"/>
        </w:rPr>
        <w:t xml:space="preserve">the </w:t>
      </w:r>
      <w:r>
        <w:rPr>
          <w:rFonts w:ascii="Times New Roman" w:hAnsi="Times New Roman" w:cs="Times New Roman" w:eastAsiaTheme="minorEastAsia"/>
          <w:i/>
          <w:iCs/>
          <w:sz w:val="20"/>
          <w:highlight w:val="none"/>
        </w:rPr>
        <w:t xml:space="preserve">existing NR NTN requirements </w:t>
      </w:r>
      <w:r>
        <w:rPr>
          <w:rFonts w:hint="eastAsia" w:ascii="Times New Roman" w:hAnsi="Times New Roman" w:cs="Times New Roman" w:eastAsiaTheme="minorEastAsia"/>
          <w:i/>
          <w:iCs/>
          <w:sz w:val="20"/>
          <w:highlight w:val="none"/>
        </w:rPr>
        <w:t>may need</w:t>
      </w:r>
      <w:r>
        <w:rPr>
          <w:rFonts w:ascii="Times New Roman" w:hAnsi="Times New Roman" w:cs="Times New Roman" w:eastAsiaTheme="minorEastAsia"/>
          <w:i/>
          <w:iCs/>
          <w:sz w:val="20"/>
          <w:highlight w:val="none"/>
        </w:rPr>
        <w:t xml:space="preserve"> be revised.</w:t>
      </w:r>
    </w:p>
    <w:p w14:paraId="203F17D8">
      <w:pPr>
        <w:numPr>
          <w:ilvl w:val="0"/>
          <w:numId w:val="6"/>
        </w:numPr>
        <w:spacing w:after="120"/>
        <w:ind w:left="516" w:hanging="360"/>
        <w:rPr>
          <w:rFonts w:ascii="Times New Roman" w:hAnsi="Times New Roman" w:cs="Times New Roman" w:eastAsiaTheme="minorEastAsia"/>
          <w:i/>
          <w:iCs/>
          <w:sz w:val="20"/>
          <w:szCs w:val="20"/>
        </w:rPr>
      </w:pPr>
      <w:r>
        <w:rPr>
          <w:rFonts w:hint="eastAsia" w:ascii="Times New Roman" w:hAnsi="Times New Roman" w:cs="Times New Roman"/>
          <w:i/>
          <w:iCs/>
          <w:sz w:val="20"/>
          <w:szCs w:val="20"/>
        </w:rPr>
        <w:t xml:space="preserve">For </w:t>
      </w:r>
      <w:r>
        <w:rPr>
          <w:rFonts w:ascii="Times New Roman" w:hAnsi="Times New Roman" w:cs="Times New Roman"/>
          <w:i/>
          <w:iCs/>
          <w:sz w:val="20"/>
          <w:szCs w:val="20"/>
        </w:rPr>
        <w:t>1Rx (e)RedCap UEs with FR1-NTN bands</w:t>
      </w:r>
      <w:r>
        <w:rPr>
          <w:rFonts w:hint="eastAsia" w:ascii="Times New Roman" w:hAnsi="Times New Roman" w:cs="Times New Roman"/>
          <w:i/>
          <w:iCs/>
          <w:sz w:val="20"/>
          <w:szCs w:val="20"/>
        </w:rPr>
        <w:t xml:space="preserve">, </w:t>
      </w:r>
    </w:p>
    <w:p w14:paraId="54353A25">
      <w:pPr>
        <w:numPr>
          <w:ilvl w:val="1"/>
          <w:numId w:val="6"/>
        </w:numPr>
        <w:spacing w:after="120"/>
        <w:ind w:left="1236" w:leftChars="0" w:hanging="360" w:firstLineChars="0"/>
        <w:rPr>
          <w:rFonts w:ascii="Times New Roman" w:hAnsi="Times New Roman" w:cs="Times New Roman" w:eastAsiaTheme="minorEastAsia"/>
          <w:i/>
          <w:iCs/>
          <w:sz w:val="20"/>
          <w:szCs w:val="20"/>
        </w:rPr>
      </w:pPr>
      <w:r>
        <w:rPr>
          <w:rFonts w:ascii="Times New Roman" w:hAnsi="Times New Roman" w:cs="Times New Roman"/>
          <w:i/>
          <w:iCs/>
          <w:sz w:val="20"/>
          <w:szCs w:val="20"/>
        </w:rPr>
        <w:t xml:space="preserve">Proposal </w:t>
      </w:r>
      <w:r>
        <w:rPr>
          <w:rFonts w:hint="eastAsia" w:ascii="Times New Roman" w:hAnsi="Times New Roman" w:cs="Times New Roman"/>
          <w:i/>
          <w:iCs/>
          <w:sz w:val="20"/>
          <w:szCs w:val="20"/>
        </w:rPr>
        <w:t>1</w:t>
      </w:r>
      <w:r>
        <w:rPr>
          <w:rFonts w:ascii="Times New Roman" w:hAnsi="Times New Roman" w:cs="Times New Roman"/>
          <w:i/>
          <w:iCs/>
          <w:sz w:val="20"/>
          <w:szCs w:val="20"/>
        </w:rPr>
        <w:t xml:space="preserve"> (</w:t>
      </w:r>
      <w:r>
        <w:rPr>
          <w:rFonts w:hint="eastAsia" w:ascii="Times New Roman" w:hAnsi="Times New Roman" w:cs="Times New Roman"/>
          <w:i/>
          <w:iCs/>
          <w:sz w:val="20"/>
          <w:szCs w:val="20"/>
        </w:rPr>
        <w:t>CATT, Samsung, CMCC, ZTE, HW</w:t>
      </w:r>
      <w:r>
        <w:rPr>
          <w:rFonts w:ascii="Times New Roman" w:hAnsi="Times New Roman" w:cs="Times New Roman"/>
          <w:i/>
          <w:iCs/>
          <w:sz w:val="20"/>
          <w:szCs w:val="20"/>
        </w:rPr>
        <w:t>):</w:t>
      </w:r>
      <w:r>
        <w:rPr>
          <w:rFonts w:hint="eastAsia" w:ascii="Times New Roman" w:hAnsi="Times New Roman" w:cs="Times New Roman"/>
          <w:i/>
          <w:iCs/>
          <w:sz w:val="20"/>
          <w:szCs w:val="20"/>
        </w:rPr>
        <w:t xml:space="preserve"> </w:t>
      </w:r>
      <w:r>
        <w:rPr>
          <w:rFonts w:hint="eastAsia" w:ascii="Times New Roman" w:hAnsi="Times New Roman" w:cs="Times New Roman" w:eastAsiaTheme="minorEastAsia"/>
          <w:i/>
          <w:iCs/>
          <w:sz w:val="20"/>
          <w:szCs w:val="20"/>
        </w:rPr>
        <w:t>The t</w:t>
      </w:r>
      <w:r>
        <w:rPr>
          <w:rFonts w:ascii="Times New Roman" w:hAnsi="Times New Roman" w:cs="Times New Roman" w:eastAsiaTheme="minorEastAsia"/>
          <w:i/>
          <w:iCs/>
          <w:sz w:val="20"/>
          <w:szCs w:val="20"/>
        </w:rPr>
        <w:t xml:space="preserve">ime period for PSS/SSS detection </w:t>
      </w:r>
      <w:r>
        <w:rPr>
          <w:rFonts w:hint="eastAsia" w:ascii="Times New Roman" w:hAnsi="Times New Roman" w:cs="Times New Roman" w:eastAsiaTheme="minorEastAsia"/>
          <w:i/>
          <w:iCs/>
          <w:sz w:val="20"/>
          <w:szCs w:val="20"/>
        </w:rPr>
        <w:t xml:space="preserve">defined for </w:t>
      </w:r>
      <w:r>
        <w:rPr>
          <w:rFonts w:ascii="Times New Roman" w:hAnsi="Times New Roman" w:cs="Times New Roman" w:eastAsiaTheme="minorEastAsia"/>
          <w:i/>
          <w:iCs/>
          <w:sz w:val="20"/>
          <w:szCs w:val="20"/>
        </w:rPr>
        <w:t>intra</w:t>
      </w:r>
      <w:r>
        <w:rPr>
          <w:rFonts w:hint="eastAsia" w:ascii="Times New Roman" w:hAnsi="Times New Roman" w:cs="Times New Roman" w:eastAsiaTheme="minorEastAsia"/>
          <w:i/>
          <w:iCs/>
          <w:sz w:val="20"/>
          <w:szCs w:val="20"/>
        </w:rPr>
        <w:t>/inter-</w:t>
      </w:r>
      <w:r>
        <w:rPr>
          <w:rFonts w:ascii="Times New Roman" w:hAnsi="Times New Roman" w:cs="Times New Roman" w:eastAsiaTheme="minorEastAsia"/>
          <w:i/>
          <w:iCs/>
          <w:sz w:val="20"/>
          <w:szCs w:val="20"/>
        </w:rPr>
        <w:t>frequency measurement</w:t>
      </w:r>
      <w:r>
        <w:rPr>
          <w:rFonts w:hint="eastAsia" w:ascii="Times New Roman" w:hAnsi="Times New Roman" w:cs="Times New Roman" w:eastAsiaTheme="minorEastAsia"/>
          <w:i/>
          <w:iCs/>
          <w:sz w:val="20"/>
          <w:szCs w:val="20"/>
        </w:rPr>
        <w:t xml:space="preserve"> requirements should be relaxed for </w:t>
      </w:r>
      <w:r>
        <w:rPr>
          <w:rFonts w:ascii="Times New Roman" w:hAnsi="Times New Roman" w:cs="Times New Roman" w:eastAsiaTheme="minorEastAsia"/>
          <w:i/>
          <w:iCs/>
          <w:sz w:val="20"/>
          <w:szCs w:val="20"/>
        </w:rPr>
        <w:t>1Rx (e)RedCap UEs with FR1-NTN bands</w:t>
      </w:r>
      <w:r>
        <w:rPr>
          <w:rFonts w:hint="eastAsia" w:ascii="Times New Roman" w:hAnsi="Times New Roman" w:cs="Times New Roman" w:eastAsiaTheme="minorEastAsia"/>
          <w:i/>
          <w:iCs/>
          <w:sz w:val="20"/>
          <w:szCs w:val="20"/>
        </w:rPr>
        <w:t xml:space="preserve"> compared to those defined for 2Rx </w:t>
      </w:r>
      <w:r>
        <w:rPr>
          <w:rFonts w:ascii="Times New Roman" w:hAnsi="Times New Roman" w:cs="Times New Roman" w:eastAsiaTheme="minorEastAsia"/>
          <w:i/>
          <w:iCs/>
          <w:sz w:val="20"/>
          <w:szCs w:val="20"/>
        </w:rPr>
        <w:t>(e)RedCap UEs</w:t>
      </w:r>
      <w:r>
        <w:rPr>
          <w:rFonts w:hint="eastAsia" w:ascii="Times New Roman" w:hAnsi="Times New Roman" w:cs="Times New Roman" w:eastAsiaTheme="minorEastAsia"/>
          <w:i/>
          <w:iCs/>
          <w:sz w:val="20"/>
          <w:szCs w:val="20"/>
        </w:rPr>
        <w:t>.</w:t>
      </w:r>
    </w:p>
    <w:p w14:paraId="3F8D1BB5">
      <w:pPr>
        <w:numPr>
          <w:ilvl w:val="2"/>
          <w:numId w:val="6"/>
        </w:numPr>
        <w:spacing w:after="120"/>
        <w:ind w:left="1956" w:leftChars="0" w:hanging="360" w:firstLineChars="0"/>
        <w:rPr>
          <w:rFonts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 xml:space="preserve">Reuse the same </w:t>
      </w:r>
      <w:r>
        <w:rPr>
          <w:rFonts w:ascii="Times New Roman" w:hAnsi="Times New Roman" w:cs="Times New Roman" w:eastAsiaTheme="minorEastAsia"/>
          <w:i/>
          <w:iCs/>
          <w:sz w:val="20"/>
          <w:szCs w:val="20"/>
        </w:rPr>
        <w:t>extensions</w:t>
      </w:r>
      <w:r>
        <w:rPr>
          <w:rFonts w:hint="eastAsia" w:ascii="Times New Roman" w:hAnsi="Times New Roman" w:cs="Times New Roman" w:eastAsiaTheme="minorEastAsia"/>
          <w:i/>
          <w:iCs/>
          <w:sz w:val="20"/>
          <w:szCs w:val="20"/>
        </w:rPr>
        <w:t xml:space="preserve"> for </w:t>
      </w:r>
      <w:r>
        <w:rPr>
          <w:rFonts w:ascii="Times New Roman" w:hAnsi="Times New Roman" w:cs="Times New Roman" w:eastAsiaTheme="minorEastAsia"/>
          <w:i/>
          <w:iCs/>
          <w:sz w:val="20"/>
          <w:szCs w:val="20"/>
        </w:rPr>
        <w:t>1Rx</w:t>
      </w:r>
      <w:r>
        <w:rPr>
          <w:rFonts w:hint="eastAsia" w:ascii="Times New Roman" w:hAnsi="Times New Roman" w:cs="Times New Roman" w:eastAsiaTheme="minorEastAsia"/>
          <w:i/>
          <w:iCs/>
          <w:sz w:val="20"/>
          <w:szCs w:val="20"/>
        </w:rPr>
        <w:t xml:space="preserve"> RedCap UE in TN network.</w:t>
      </w:r>
    </w:p>
    <w:p w14:paraId="08353B20">
      <w:pPr>
        <w:numPr>
          <w:ilvl w:val="3"/>
          <w:numId w:val="6"/>
        </w:numPr>
        <w:spacing w:after="120"/>
        <w:ind w:left="2676" w:leftChars="0" w:hanging="360" w:firstLineChars="0"/>
        <w:rPr>
          <w:rFonts w:ascii="Times New Roman" w:hAnsi="Times New Roman" w:cs="Times New Roman" w:eastAsiaTheme="minorEastAsia"/>
          <w:i/>
          <w:iCs/>
          <w:sz w:val="20"/>
          <w:szCs w:val="20"/>
        </w:rPr>
      </w:pPr>
      <w:r>
        <w:rPr>
          <w:rFonts w:ascii="Times New Roman" w:hAnsi="Times New Roman" w:cs="Times New Roman"/>
          <w:i/>
          <w:iCs/>
          <w:sz w:val="20"/>
          <w:szCs w:val="20"/>
        </w:rPr>
        <w:t>Increase the number of attempts by 2 SSB samples for T</w:t>
      </w:r>
      <w:r>
        <w:rPr>
          <w:rFonts w:ascii="Times New Roman" w:hAnsi="Times New Roman" w:cs="Times New Roman"/>
          <w:i/>
          <w:iCs/>
          <w:sz w:val="20"/>
          <w:szCs w:val="20"/>
          <w:vertAlign w:val="subscript"/>
        </w:rPr>
        <w:t xml:space="preserve">PSS/SSS_sync_intra </w:t>
      </w:r>
      <w:r>
        <w:rPr>
          <w:rFonts w:ascii="Times New Roman" w:hAnsi="Times New Roman" w:cs="Times New Roman"/>
          <w:i/>
          <w:iCs/>
          <w:sz w:val="20"/>
          <w:szCs w:val="20"/>
        </w:rPr>
        <w:t>and T</w:t>
      </w:r>
      <w:r>
        <w:rPr>
          <w:rFonts w:ascii="Times New Roman" w:hAnsi="Times New Roman" w:cs="Times New Roman"/>
          <w:i/>
          <w:iCs/>
          <w:sz w:val="20"/>
          <w:szCs w:val="20"/>
          <w:vertAlign w:val="subscript"/>
        </w:rPr>
        <w:t>PSS/SSS_sync_inter</w:t>
      </w:r>
      <w:r>
        <w:rPr>
          <w:rFonts w:ascii="Times New Roman" w:hAnsi="Times New Roman" w:cs="Times New Roman"/>
          <w:i/>
          <w:iCs/>
          <w:sz w:val="20"/>
          <w:szCs w:val="20"/>
        </w:rPr>
        <w:t>.</w:t>
      </w:r>
    </w:p>
    <w:p w14:paraId="16F58F23">
      <w:pPr>
        <w:numPr>
          <w:ilvl w:val="4"/>
          <w:numId w:val="6"/>
        </w:numPr>
        <w:spacing w:after="120"/>
        <w:ind w:left="3396" w:leftChars="0" w:hanging="360" w:firstLineChars="0"/>
        <w:rPr>
          <w:rFonts w:ascii="Times New Roman" w:hAnsi="Times New Roman" w:cs="Times New Roman" w:eastAsiaTheme="minorEastAsia"/>
          <w:i/>
          <w:iCs/>
          <w:sz w:val="20"/>
          <w:szCs w:val="20"/>
        </w:rPr>
      </w:pPr>
      <w:r>
        <w:rPr>
          <w:rFonts w:ascii="Times New Roman" w:hAnsi="Times New Roman" w:cs="Times New Roman" w:eastAsiaTheme="minorEastAsia"/>
          <w:i/>
          <w:iCs/>
          <w:sz w:val="20"/>
          <w:szCs w:val="20"/>
        </w:rPr>
        <w:t>Not to extend the lower boundary.</w:t>
      </w:r>
    </w:p>
    <w:p w14:paraId="35483347">
      <w:pPr>
        <w:numPr>
          <w:ilvl w:val="2"/>
          <w:numId w:val="6"/>
        </w:numPr>
        <w:spacing w:after="120"/>
        <w:ind w:left="1956" w:leftChars="0" w:hanging="360" w:firstLineChars="0"/>
        <w:rPr>
          <w:rFonts w:ascii="Times New Roman" w:hAnsi="Times New Roman" w:cs="Times New Roman" w:eastAsiaTheme="minorEastAsia"/>
          <w:i/>
          <w:iCs/>
          <w:sz w:val="20"/>
          <w:szCs w:val="20"/>
        </w:rPr>
      </w:pPr>
      <w:r>
        <w:rPr>
          <w:rFonts w:ascii="Times New Roman" w:hAnsi="Times New Roman" w:cs="Times New Roman" w:eastAsiaTheme="minorEastAsia"/>
          <w:i/>
          <w:iCs/>
          <w:sz w:val="20"/>
          <w:szCs w:val="20"/>
        </w:rPr>
        <w:t xml:space="preserve">Proposal </w:t>
      </w:r>
      <w:r>
        <w:rPr>
          <w:rFonts w:hint="eastAsia" w:ascii="Times New Roman" w:hAnsi="Times New Roman" w:cs="Times New Roman" w:eastAsiaTheme="minorEastAsia"/>
          <w:i/>
          <w:iCs/>
          <w:sz w:val="20"/>
          <w:szCs w:val="20"/>
        </w:rPr>
        <w:t>1a</w:t>
      </w:r>
      <w:r>
        <w:rPr>
          <w:rFonts w:ascii="Times New Roman" w:hAnsi="Times New Roman" w:cs="Times New Roman" w:eastAsiaTheme="minorEastAsia"/>
          <w:i/>
          <w:iCs/>
          <w:sz w:val="20"/>
          <w:szCs w:val="20"/>
        </w:rPr>
        <w:t xml:space="preserve"> (</w:t>
      </w:r>
      <w:r>
        <w:rPr>
          <w:rFonts w:hint="eastAsia" w:ascii="Times New Roman" w:hAnsi="Times New Roman" w:cs="Times New Roman" w:eastAsiaTheme="minorEastAsia"/>
          <w:i/>
          <w:iCs/>
          <w:sz w:val="20"/>
          <w:szCs w:val="20"/>
        </w:rPr>
        <w:t>QC</w:t>
      </w:r>
      <w:r>
        <w:rPr>
          <w:rFonts w:ascii="Times New Roman" w:hAnsi="Times New Roman" w:cs="Times New Roman" w:eastAsiaTheme="minorEastAsia"/>
          <w:i/>
          <w:iCs/>
          <w:sz w:val="20"/>
          <w:szCs w:val="20"/>
        </w:rPr>
        <w:t>):</w:t>
      </w:r>
      <w:r>
        <w:rPr>
          <w:rFonts w:hint="eastAsia" w:ascii="Times New Roman" w:hAnsi="Times New Roman" w:cs="Times New Roman" w:eastAsiaTheme="minorEastAsia"/>
          <w:i/>
          <w:iCs/>
          <w:sz w:val="20"/>
          <w:szCs w:val="20"/>
        </w:rPr>
        <w:t xml:space="preserve"> </w:t>
      </w:r>
      <w:r>
        <w:rPr>
          <w:rFonts w:ascii="Times New Roman" w:hAnsi="Times New Roman" w:cs="Times New Roman" w:eastAsiaTheme="minorEastAsia"/>
          <w:i/>
          <w:iCs/>
          <w:sz w:val="20"/>
          <w:szCs w:val="20"/>
        </w:rPr>
        <w:t>Extended delays for PSS/SSS detection</w:t>
      </w:r>
      <w:r>
        <w:rPr>
          <w:rFonts w:hint="eastAsia" w:ascii="Times New Roman" w:hAnsi="Times New Roman" w:cs="Times New Roman" w:eastAsiaTheme="minorEastAsia"/>
          <w:i/>
          <w:iCs/>
          <w:sz w:val="20"/>
          <w:szCs w:val="20"/>
        </w:rPr>
        <w:t>.</w:t>
      </w:r>
    </w:p>
    <w:p w14:paraId="74CAD0C9">
      <w:pPr>
        <w:numPr>
          <w:ilvl w:val="2"/>
          <w:numId w:val="6"/>
        </w:numPr>
        <w:spacing w:after="120"/>
        <w:ind w:left="1956" w:leftChars="0" w:hanging="360" w:firstLineChars="0"/>
        <w:rPr>
          <w:rFonts w:ascii="Times New Roman" w:hAnsi="Times New Roman" w:cs="Times New Roman" w:eastAsiaTheme="minorEastAsia"/>
          <w:i/>
          <w:iCs/>
          <w:sz w:val="20"/>
          <w:highlight w:val="none"/>
        </w:rPr>
      </w:pPr>
      <w:r>
        <w:rPr>
          <w:rFonts w:ascii="Times New Roman" w:hAnsi="Times New Roman" w:cs="Times New Roman" w:eastAsiaTheme="minorEastAsia"/>
          <w:i/>
          <w:iCs/>
          <w:sz w:val="20"/>
          <w:highlight w:val="none"/>
        </w:rPr>
        <w:t xml:space="preserve">Proposal </w:t>
      </w:r>
      <w:r>
        <w:rPr>
          <w:rFonts w:hint="eastAsia" w:ascii="Times New Roman" w:hAnsi="Times New Roman" w:cs="Times New Roman" w:eastAsiaTheme="minorEastAsia"/>
          <w:i/>
          <w:iCs/>
          <w:sz w:val="20"/>
          <w:highlight w:val="none"/>
        </w:rPr>
        <w:t>1b</w:t>
      </w:r>
      <w:r>
        <w:rPr>
          <w:rFonts w:ascii="Times New Roman" w:hAnsi="Times New Roman" w:cs="Times New Roman" w:eastAsiaTheme="minorEastAsia"/>
          <w:i/>
          <w:iCs/>
          <w:sz w:val="20"/>
          <w:highlight w:val="none"/>
        </w:rPr>
        <w:t xml:space="preserve"> (</w:t>
      </w:r>
      <w:r>
        <w:rPr>
          <w:rFonts w:hint="eastAsia" w:ascii="Times New Roman" w:hAnsi="Times New Roman" w:cs="Times New Roman" w:eastAsiaTheme="minorEastAsia"/>
          <w:i/>
          <w:iCs/>
          <w:sz w:val="20"/>
          <w:highlight w:val="none"/>
        </w:rPr>
        <w:t>OPPO</w:t>
      </w:r>
      <w:r>
        <w:rPr>
          <w:rFonts w:ascii="Times New Roman" w:hAnsi="Times New Roman" w:cs="Times New Roman" w:eastAsiaTheme="minorEastAsia"/>
          <w:i/>
          <w:iCs/>
          <w:sz w:val="20"/>
          <w:highlight w:val="none"/>
        </w:rPr>
        <w:t>):</w:t>
      </w:r>
      <w:r>
        <w:rPr>
          <w:rFonts w:hint="eastAsia" w:ascii="Times New Roman" w:hAnsi="Times New Roman" w:cs="Times New Roman" w:eastAsiaTheme="minorEastAsia"/>
          <w:i/>
          <w:iCs/>
          <w:sz w:val="20"/>
          <w:highlight w:val="none"/>
        </w:rPr>
        <w:t xml:space="preserve"> S</w:t>
      </w:r>
      <w:r>
        <w:rPr>
          <w:rFonts w:ascii="Times New Roman" w:hAnsi="Times New Roman" w:cs="Times New Roman" w:eastAsiaTheme="minorEastAsia"/>
          <w:i/>
          <w:iCs/>
          <w:sz w:val="20"/>
          <w:highlight w:val="none"/>
        </w:rPr>
        <w:t xml:space="preserve">upport to relax measurement </w:t>
      </w:r>
      <w:r>
        <w:rPr>
          <w:rFonts w:ascii="Times New Roman" w:hAnsi="Times New Roman" w:cs="Times New Roman" w:eastAsiaTheme="minorEastAsia"/>
          <w:i/>
          <w:iCs/>
          <w:sz w:val="20"/>
          <w:szCs w:val="20"/>
        </w:rPr>
        <w:t xml:space="preserve">requirements </w:t>
      </w:r>
      <w:r>
        <w:rPr>
          <w:rFonts w:ascii="Times New Roman" w:hAnsi="Times New Roman" w:cs="Times New Roman" w:eastAsiaTheme="minorEastAsia"/>
          <w:i/>
          <w:iCs/>
          <w:sz w:val="20"/>
          <w:highlight w:val="none"/>
        </w:rPr>
        <w:t>including extending the measurement delays with more measurement samples</w:t>
      </w:r>
      <w:r>
        <w:rPr>
          <w:rFonts w:hint="eastAsia" w:ascii="Times New Roman" w:hAnsi="Times New Roman" w:cs="Times New Roman" w:eastAsiaTheme="minorEastAsia"/>
          <w:i/>
          <w:iCs/>
          <w:sz w:val="20"/>
          <w:highlight w:val="none"/>
        </w:rPr>
        <w:t>.</w:t>
      </w:r>
    </w:p>
    <w:p w14:paraId="6F891814">
      <w:pPr>
        <w:numPr>
          <w:ilvl w:val="1"/>
          <w:numId w:val="6"/>
        </w:numPr>
        <w:spacing w:after="120"/>
        <w:ind w:left="1236" w:leftChars="0" w:hanging="360" w:firstLineChars="0"/>
        <w:rPr>
          <w:rFonts w:ascii="Times New Roman" w:hAnsi="Times New Roman" w:cs="Times New Roman" w:eastAsiaTheme="minorEastAsia"/>
          <w:i/>
          <w:iCs/>
          <w:sz w:val="20"/>
          <w:szCs w:val="20"/>
        </w:rPr>
      </w:pPr>
      <w:r>
        <w:rPr>
          <w:rFonts w:ascii="Times New Roman" w:hAnsi="Times New Roman" w:cs="Times New Roman"/>
          <w:i/>
          <w:iCs/>
          <w:sz w:val="20"/>
          <w:szCs w:val="20"/>
        </w:rPr>
        <w:t xml:space="preserve">Proposal </w:t>
      </w:r>
      <w:r>
        <w:rPr>
          <w:rFonts w:hint="eastAsia" w:ascii="Times New Roman" w:hAnsi="Times New Roman" w:cs="Times New Roman"/>
          <w:i/>
          <w:iCs/>
          <w:sz w:val="20"/>
          <w:szCs w:val="20"/>
        </w:rPr>
        <w:t>2</w:t>
      </w:r>
      <w:r>
        <w:rPr>
          <w:rFonts w:ascii="Times New Roman" w:hAnsi="Times New Roman" w:cs="Times New Roman"/>
          <w:i/>
          <w:iCs/>
          <w:sz w:val="20"/>
          <w:szCs w:val="20"/>
        </w:rPr>
        <w:t xml:space="preserve"> (</w:t>
      </w:r>
      <w:r>
        <w:rPr>
          <w:rFonts w:hint="eastAsia" w:ascii="Times New Roman" w:hAnsi="Times New Roman" w:cs="Times New Roman"/>
          <w:i/>
          <w:iCs/>
          <w:sz w:val="20"/>
          <w:szCs w:val="20"/>
        </w:rPr>
        <w:t>CATT, [Samsung?], CMCC, HW</w:t>
      </w:r>
      <w:r>
        <w:rPr>
          <w:rFonts w:ascii="Times New Roman" w:hAnsi="Times New Roman" w:cs="Times New Roman"/>
          <w:i/>
          <w:iCs/>
          <w:sz w:val="20"/>
          <w:szCs w:val="20"/>
        </w:rPr>
        <w:t>):</w:t>
      </w:r>
      <w:r>
        <w:rPr>
          <w:rFonts w:hint="eastAsia" w:ascii="Times New Roman" w:hAnsi="Times New Roman" w:cs="Times New Roman"/>
          <w:i/>
          <w:iCs/>
          <w:sz w:val="20"/>
          <w:szCs w:val="20"/>
        </w:rPr>
        <w:t xml:space="preserve"> </w:t>
      </w:r>
      <w:r>
        <w:rPr>
          <w:rFonts w:hint="eastAsia" w:ascii="Times New Roman" w:hAnsi="Times New Roman" w:cs="Times New Roman" w:eastAsiaTheme="minorEastAsia"/>
          <w:i/>
          <w:iCs/>
          <w:sz w:val="20"/>
          <w:szCs w:val="20"/>
        </w:rPr>
        <w:t>The t</w:t>
      </w:r>
      <w:r>
        <w:rPr>
          <w:rFonts w:ascii="Times New Roman" w:hAnsi="Times New Roman" w:cs="Times New Roman" w:eastAsiaTheme="minorEastAsia"/>
          <w:i/>
          <w:iCs/>
          <w:sz w:val="20"/>
          <w:szCs w:val="20"/>
        </w:rPr>
        <w:t>ime period for SSB index identification (PBCH decoding)</w:t>
      </w:r>
      <w:r>
        <w:rPr>
          <w:rFonts w:hint="eastAsia" w:ascii="Times New Roman" w:hAnsi="Times New Roman" w:cs="Times New Roman" w:eastAsiaTheme="minorEastAsia"/>
          <w:i/>
          <w:iCs/>
          <w:sz w:val="20"/>
          <w:szCs w:val="20"/>
        </w:rPr>
        <w:t xml:space="preserve"> defined in </w:t>
      </w:r>
      <w:r>
        <w:rPr>
          <w:rFonts w:ascii="Times New Roman" w:hAnsi="Times New Roman" w:cs="Times New Roman" w:eastAsiaTheme="minorEastAsia"/>
          <w:i/>
          <w:iCs/>
          <w:sz w:val="20"/>
          <w:szCs w:val="20"/>
        </w:rPr>
        <w:t>intra</w:t>
      </w:r>
      <w:r>
        <w:rPr>
          <w:rFonts w:hint="eastAsia" w:ascii="Times New Roman" w:hAnsi="Times New Roman" w:cs="Times New Roman" w:eastAsiaTheme="minorEastAsia"/>
          <w:i/>
          <w:iCs/>
          <w:sz w:val="20"/>
          <w:szCs w:val="20"/>
        </w:rPr>
        <w:t>/inter-</w:t>
      </w:r>
      <w:r>
        <w:rPr>
          <w:rFonts w:ascii="Times New Roman" w:hAnsi="Times New Roman" w:cs="Times New Roman" w:eastAsiaTheme="minorEastAsia"/>
          <w:i/>
          <w:iCs/>
          <w:sz w:val="20"/>
          <w:szCs w:val="20"/>
        </w:rPr>
        <w:t>frequency measurement</w:t>
      </w:r>
      <w:r>
        <w:rPr>
          <w:rFonts w:hint="eastAsia" w:ascii="Times New Roman" w:hAnsi="Times New Roman" w:cs="Times New Roman" w:eastAsiaTheme="minorEastAsia"/>
          <w:i/>
          <w:iCs/>
          <w:sz w:val="20"/>
          <w:szCs w:val="20"/>
        </w:rPr>
        <w:t xml:space="preserve"> requirements should be relaxed for </w:t>
      </w:r>
      <w:r>
        <w:rPr>
          <w:rFonts w:ascii="Times New Roman" w:hAnsi="Times New Roman" w:cs="Times New Roman" w:eastAsiaTheme="minorEastAsia"/>
          <w:i/>
          <w:iCs/>
          <w:sz w:val="20"/>
          <w:szCs w:val="20"/>
        </w:rPr>
        <w:t>1Rx (e)RedCap UEs with FR1-NTN bands</w:t>
      </w:r>
      <w:r>
        <w:rPr>
          <w:rFonts w:hint="eastAsia" w:ascii="Times New Roman" w:hAnsi="Times New Roman" w:cs="Times New Roman" w:eastAsiaTheme="minorEastAsia"/>
          <w:i/>
          <w:iCs/>
          <w:sz w:val="20"/>
          <w:szCs w:val="20"/>
        </w:rPr>
        <w:t xml:space="preserve"> compared to those defined for 2Rx </w:t>
      </w:r>
      <w:r>
        <w:rPr>
          <w:rFonts w:ascii="Times New Roman" w:hAnsi="Times New Roman" w:cs="Times New Roman" w:eastAsiaTheme="minorEastAsia"/>
          <w:i/>
          <w:iCs/>
          <w:sz w:val="20"/>
          <w:szCs w:val="20"/>
        </w:rPr>
        <w:t>(e)RedCap UEs</w:t>
      </w:r>
      <w:r>
        <w:rPr>
          <w:rFonts w:hint="eastAsia" w:ascii="Times New Roman" w:hAnsi="Times New Roman" w:cs="Times New Roman" w:eastAsiaTheme="minorEastAsia"/>
          <w:i/>
          <w:iCs/>
          <w:sz w:val="20"/>
          <w:szCs w:val="20"/>
        </w:rPr>
        <w:t>.</w:t>
      </w:r>
    </w:p>
    <w:p w14:paraId="6B712FBF">
      <w:pPr>
        <w:numPr>
          <w:ilvl w:val="2"/>
          <w:numId w:val="6"/>
        </w:numPr>
        <w:spacing w:after="120"/>
        <w:ind w:left="1956" w:leftChars="0" w:hanging="360" w:firstLineChars="0"/>
        <w:rPr>
          <w:rFonts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 xml:space="preserve">Reuse the same </w:t>
      </w:r>
      <w:r>
        <w:rPr>
          <w:rFonts w:ascii="Times New Roman" w:hAnsi="Times New Roman" w:cs="Times New Roman" w:eastAsiaTheme="minorEastAsia"/>
          <w:i/>
          <w:iCs/>
          <w:sz w:val="20"/>
          <w:szCs w:val="20"/>
        </w:rPr>
        <w:t xml:space="preserve">extensions </w:t>
      </w:r>
      <w:r>
        <w:rPr>
          <w:rFonts w:hint="eastAsia" w:ascii="Times New Roman" w:hAnsi="Times New Roman" w:cs="Times New Roman" w:eastAsiaTheme="minorEastAsia"/>
          <w:i/>
          <w:iCs/>
          <w:sz w:val="20"/>
          <w:szCs w:val="20"/>
        </w:rPr>
        <w:t xml:space="preserve">for </w:t>
      </w:r>
      <w:r>
        <w:rPr>
          <w:rFonts w:ascii="Times New Roman" w:hAnsi="Times New Roman" w:cs="Times New Roman" w:eastAsiaTheme="minorEastAsia"/>
          <w:i/>
          <w:iCs/>
          <w:sz w:val="20"/>
          <w:szCs w:val="20"/>
        </w:rPr>
        <w:t>1Rx</w:t>
      </w:r>
      <w:r>
        <w:rPr>
          <w:rFonts w:hint="eastAsia" w:ascii="Times New Roman" w:hAnsi="Times New Roman" w:cs="Times New Roman" w:eastAsiaTheme="minorEastAsia"/>
          <w:i/>
          <w:iCs/>
          <w:sz w:val="20"/>
          <w:szCs w:val="20"/>
        </w:rPr>
        <w:t xml:space="preserve"> RedCap UE in TN network.</w:t>
      </w:r>
    </w:p>
    <w:p w14:paraId="0935FCBC">
      <w:pPr>
        <w:numPr>
          <w:ilvl w:val="3"/>
          <w:numId w:val="6"/>
        </w:numPr>
        <w:spacing w:after="120"/>
        <w:ind w:left="2676" w:leftChars="0" w:hanging="360" w:firstLineChars="0"/>
        <w:rPr>
          <w:rFonts w:ascii="Times New Roman" w:hAnsi="Times New Roman" w:cs="Times New Roman" w:eastAsiaTheme="minorEastAsia"/>
          <w:i/>
          <w:iCs/>
          <w:sz w:val="20"/>
          <w:szCs w:val="18"/>
        </w:rPr>
      </w:pPr>
      <w:r>
        <w:rPr>
          <w:rFonts w:ascii="Times New Roman" w:hAnsi="Times New Roman" w:cs="Times New Roman"/>
          <w:i/>
          <w:iCs/>
          <w:sz w:val="20"/>
          <w:szCs w:val="18"/>
        </w:rPr>
        <w:t>Increase number of attempts by 3 SSB samples for T</w:t>
      </w:r>
      <w:r>
        <w:rPr>
          <w:rFonts w:ascii="Times New Roman" w:hAnsi="Times New Roman" w:cs="Times New Roman"/>
          <w:i/>
          <w:iCs/>
          <w:sz w:val="20"/>
          <w:szCs w:val="18"/>
          <w:vertAlign w:val="subscript"/>
        </w:rPr>
        <w:t xml:space="preserve">SSB_time_index_intra </w:t>
      </w:r>
      <w:r>
        <w:rPr>
          <w:rFonts w:ascii="Times New Roman" w:hAnsi="Times New Roman" w:cs="Times New Roman"/>
          <w:i/>
          <w:iCs/>
          <w:sz w:val="20"/>
          <w:szCs w:val="18"/>
        </w:rPr>
        <w:t>and T</w:t>
      </w:r>
      <w:r>
        <w:rPr>
          <w:rFonts w:ascii="Times New Roman" w:hAnsi="Times New Roman" w:cs="Times New Roman"/>
          <w:i/>
          <w:iCs/>
          <w:sz w:val="20"/>
          <w:szCs w:val="18"/>
          <w:vertAlign w:val="subscript"/>
        </w:rPr>
        <w:t>SSB_time_index_inter</w:t>
      </w:r>
      <w:r>
        <w:rPr>
          <w:rFonts w:ascii="Times New Roman" w:hAnsi="Times New Roman" w:cs="Times New Roman"/>
          <w:i/>
          <w:iCs/>
          <w:sz w:val="20"/>
          <w:szCs w:val="18"/>
        </w:rPr>
        <w:t>.</w:t>
      </w:r>
    </w:p>
    <w:p w14:paraId="6ADB6AA5">
      <w:pPr>
        <w:numPr>
          <w:ilvl w:val="4"/>
          <w:numId w:val="6"/>
        </w:numPr>
        <w:spacing w:after="120"/>
        <w:ind w:left="3396" w:leftChars="0" w:hanging="360" w:firstLineChars="0"/>
        <w:rPr>
          <w:rFonts w:ascii="Times New Roman" w:hAnsi="Times New Roman" w:cs="Times New Roman" w:eastAsiaTheme="minorEastAsia"/>
          <w:i/>
          <w:iCs/>
          <w:sz w:val="20"/>
          <w:szCs w:val="18"/>
        </w:rPr>
      </w:pPr>
      <w:r>
        <w:rPr>
          <w:rFonts w:ascii="Times New Roman" w:hAnsi="Times New Roman" w:cs="Times New Roman" w:eastAsiaTheme="minorEastAsia"/>
          <w:i/>
          <w:iCs/>
          <w:sz w:val="20"/>
          <w:szCs w:val="18"/>
        </w:rPr>
        <w:t>Extend the lower boundary from ‘120 ms’ to ‘160ms’.</w:t>
      </w:r>
    </w:p>
    <w:p w14:paraId="426B31E1">
      <w:pPr>
        <w:numPr>
          <w:ilvl w:val="2"/>
          <w:numId w:val="6"/>
        </w:numPr>
        <w:spacing w:after="120"/>
        <w:ind w:left="1956" w:leftChars="0" w:hanging="360" w:firstLineChars="0"/>
        <w:rPr>
          <w:rFonts w:ascii="Times New Roman" w:hAnsi="Times New Roman" w:cs="Times New Roman" w:eastAsiaTheme="minorEastAsia"/>
          <w:i/>
          <w:iCs/>
          <w:sz w:val="20"/>
          <w:szCs w:val="20"/>
        </w:rPr>
      </w:pPr>
      <w:r>
        <w:rPr>
          <w:rFonts w:ascii="Times New Roman" w:hAnsi="Times New Roman" w:cs="Times New Roman" w:eastAsiaTheme="minorEastAsia"/>
          <w:i/>
          <w:iCs/>
          <w:sz w:val="20"/>
          <w:szCs w:val="20"/>
        </w:rPr>
        <w:t xml:space="preserve">Proposal </w:t>
      </w:r>
      <w:r>
        <w:rPr>
          <w:rFonts w:hint="eastAsia" w:ascii="Times New Roman" w:hAnsi="Times New Roman" w:cs="Times New Roman" w:eastAsiaTheme="minorEastAsia"/>
          <w:i/>
          <w:iCs/>
          <w:sz w:val="20"/>
          <w:szCs w:val="20"/>
        </w:rPr>
        <w:t>2a</w:t>
      </w:r>
      <w:r>
        <w:rPr>
          <w:rFonts w:ascii="Times New Roman" w:hAnsi="Times New Roman" w:cs="Times New Roman" w:eastAsiaTheme="minorEastAsia"/>
          <w:i/>
          <w:iCs/>
          <w:sz w:val="20"/>
          <w:szCs w:val="20"/>
        </w:rPr>
        <w:t xml:space="preserve"> (</w:t>
      </w:r>
      <w:r>
        <w:rPr>
          <w:rFonts w:hint="eastAsia" w:ascii="Times New Roman" w:hAnsi="Times New Roman" w:cs="Times New Roman" w:eastAsiaTheme="minorEastAsia"/>
          <w:i/>
          <w:iCs/>
          <w:sz w:val="20"/>
          <w:szCs w:val="20"/>
        </w:rPr>
        <w:t>QC</w:t>
      </w:r>
      <w:r>
        <w:rPr>
          <w:rFonts w:ascii="Times New Roman" w:hAnsi="Times New Roman" w:cs="Times New Roman" w:eastAsiaTheme="minorEastAsia"/>
          <w:i/>
          <w:iCs/>
          <w:sz w:val="20"/>
          <w:szCs w:val="20"/>
        </w:rPr>
        <w:t>):</w:t>
      </w:r>
      <w:r>
        <w:rPr>
          <w:rFonts w:hint="eastAsia" w:ascii="Times New Roman" w:hAnsi="Times New Roman" w:cs="Times New Roman" w:eastAsiaTheme="minorEastAsia"/>
          <w:i/>
          <w:iCs/>
          <w:sz w:val="20"/>
          <w:szCs w:val="20"/>
        </w:rPr>
        <w:t xml:space="preserve"> </w:t>
      </w:r>
      <w:r>
        <w:rPr>
          <w:rFonts w:ascii="Times New Roman" w:hAnsi="Times New Roman" w:cs="Times New Roman" w:eastAsiaTheme="minorEastAsia"/>
          <w:i/>
          <w:iCs/>
          <w:sz w:val="20"/>
          <w:szCs w:val="20"/>
        </w:rPr>
        <w:t>Extended delays for SSB index identification (PBCH decoding)</w:t>
      </w:r>
      <w:r>
        <w:rPr>
          <w:rFonts w:hint="eastAsia" w:ascii="Times New Roman" w:hAnsi="Times New Roman" w:cs="Times New Roman" w:eastAsiaTheme="minorEastAsia"/>
          <w:i/>
          <w:iCs/>
          <w:sz w:val="20"/>
          <w:szCs w:val="20"/>
        </w:rPr>
        <w:t>.</w:t>
      </w:r>
    </w:p>
    <w:p w14:paraId="5E2666B0">
      <w:pPr>
        <w:numPr>
          <w:ilvl w:val="2"/>
          <w:numId w:val="6"/>
        </w:numPr>
        <w:spacing w:after="120"/>
        <w:ind w:left="1956" w:leftChars="0" w:hanging="360" w:firstLineChars="0"/>
        <w:rPr>
          <w:rFonts w:ascii="Times New Roman" w:hAnsi="Times New Roman" w:cs="Times New Roman" w:eastAsiaTheme="minorEastAsia"/>
          <w:i/>
          <w:iCs/>
          <w:sz w:val="20"/>
          <w:highlight w:val="none"/>
        </w:rPr>
      </w:pPr>
      <w:r>
        <w:rPr>
          <w:rFonts w:ascii="Times New Roman" w:hAnsi="Times New Roman" w:cs="Times New Roman" w:eastAsiaTheme="minorEastAsia"/>
          <w:i/>
          <w:iCs/>
          <w:sz w:val="20"/>
          <w:highlight w:val="none"/>
        </w:rPr>
        <w:t xml:space="preserve">Proposal </w:t>
      </w:r>
      <w:r>
        <w:rPr>
          <w:rFonts w:hint="eastAsia" w:ascii="Times New Roman" w:hAnsi="Times New Roman" w:cs="Times New Roman" w:eastAsiaTheme="minorEastAsia"/>
          <w:i/>
          <w:iCs/>
          <w:sz w:val="20"/>
          <w:highlight w:val="none"/>
        </w:rPr>
        <w:t>2b</w:t>
      </w:r>
      <w:r>
        <w:rPr>
          <w:rFonts w:ascii="Times New Roman" w:hAnsi="Times New Roman" w:cs="Times New Roman" w:eastAsiaTheme="minorEastAsia"/>
          <w:i/>
          <w:iCs/>
          <w:sz w:val="20"/>
          <w:highlight w:val="none"/>
        </w:rPr>
        <w:t xml:space="preserve"> (</w:t>
      </w:r>
      <w:r>
        <w:rPr>
          <w:rFonts w:hint="eastAsia" w:ascii="Times New Roman" w:hAnsi="Times New Roman" w:cs="Times New Roman" w:eastAsiaTheme="minorEastAsia"/>
          <w:i/>
          <w:iCs/>
          <w:sz w:val="20"/>
          <w:highlight w:val="none"/>
        </w:rPr>
        <w:t>OPPO</w:t>
      </w:r>
      <w:r>
        <w:rPr>
          <w:rFonts w:ascii="Times New Roman" w:hAnsi="Times New Roman" w:cs="Times New Roman" w:eastAsiaTheme="minorEastAsia"/>
          <w:i/>
          <w:iCs/>
          <w:sz w:val="20"/>
          <w:highlight w:val="none"/>
        </w:rPr>
        <w:t>):</w:t>
      </w:r>
      <w:r>
        <w:rPr>
          <w:rFonts w:hint="eastAsia" w:ascii="Times New Roman" w:hAnsi="Times New Roman" w:cs="Times New Roman" w:eastAsiaTheme="minorEastAsia"/>
          <w:i/>
          <w:iCs/>
          <w:sz w:val="20"/>
          <w:highlight w:val="none"/>
        </w:rPr>
        <w:t xml:space="preserve"> S</w:t>
      </w:r>
      <w:r>
        <w:rPr>
          <w:rFonts w:ascii="Times New Roman" w:hAnsi="Times New Roman" w:cs="Times New Roman" w:eastAsiaTheme="minorEastAsia"/>
          <w:i/>
          <w:iCs/>
          <w:sz w:val="20"/>
          <w:highlight w:val="none"/>
        </w:rPr>
        <w:t>upport to relax measurement requirements including extending the measurement delays with more measurement samples</w:t>
      </w:r>
      <w:r>
        <w:rPr>
          <w:rFonts w:hint="eastAsia" w:ascii="Times New Roman" w:hAnsi="Times New Roman" w:cs="Times New Roman" w:eastAsiaTheme="minorEastAsia"/>
          <w:i/>
          <w:iCs/>
          <w:sz w:val="20"/>
          <w:highlight w:val="none"/>
        </w:rPr>
        <w:t>.</w:t>
      </w:r>
    </w:p>
    <w:p w14:paraId="701FA430">
      <w:pPr>
        <w:numPr>
          <w:ilvl w:val="1"/>
          <w:numId w:val="6"/>
        </w:numPr>
        <w:spacing w:after="120"/>
        <w:ind w:left="1236" w:leftChars="0" w:hanging="360" w:firstLineChars="0"/>
        <w:rPr>
          <w:rFonts w:ascii="Times New Roman" w:hAnsi="Times New Roman" w:cs="Times New Roman" w:eastAsiaTheme="minorEastAsia"/>
          <w:i/>
          <w:iCs/>
          <w:sz w:val="20"/>
          <w:szCs w:val="20"/>
        </w:rPr>
      </w:pPr>
      <w:r>
        <w:rPr>
          <w:rFonts w:ascii="Times New Roman" w:hAnsi="Times New Roman" w:cs="Times New Roman"/>
          <w:i/>
          <w:iCs/>
          <w:sz w:val="20"/>
          <w:szCs w:val="20"/>
        </w:rPr>
        <w:t xml:space="preserve">Proposal </w:t>
      </w:r>
      <w:r>
        <w:rPr>
          <w:rFonts w:hint="eastAsia" w:ascii="Times New Roman" w:hAnsi="Times New Roman" w:cs="Times New Roman"/>
          <w:i/>
          <w:iCs/>
          <w:sz w:val="20"/>
          <w:szCs w:val="20"/>
        </w:rPr>
        <w:t>3</w:t>
      </w:r>
      <w:r>
        <w:rPr>
          <w:rFonts w:ascii="Times New Roman" w:hAnsi="Times New Roman" w:cs="Times New Roman"/>
          <w:i/>
          <w:iCs/>
          <w:sz w:val="20"/>
          <w:szCs w:val="20"/>
        </w:rPr>
        <w:t xml:space="preserve"> (</w:t>
      </w:r>
      <w:r>
        <w:rPr>
          <w:rFonts w:hint="eastAsia" w:ascii="Times New Roman" w:hAnsi="Times New Roman" w:cs="Times New Roman"/>
          <w:i/>
          <w:iCs/>
          <w:sz w:val="20"/>
          <w:szCs w:val="20"/>
        </w:rPr>
        <w:t>CATT, CMCC, HW</w:t>
      </w:r>
      <w:r>
        <w:rPr>
          <w:rFonts w:ascii="Times New Roman" w:hAnsi="Times New Roman" w:cs="Times New Roman"/>
          <w:i/>
          <w:iCs/>
          <w:sz w:val="20"/>
          <w:szCs w:val="20"/>
        </w:rPr>
        <w:t>):</w:t>
      </w:r>
      <w:r>
        <w:rPr>
          <w:rFonts w:hint="eastAsia" w:ascii="Times New Roman" w:hAnsi="Times New Roman" w:cs="Times New Roman"/>
          <w:i/>
          <w:iCs/>
          <w:sz w:val="20"/>
          <w:szCs w:val="20"/>
        </w:rPr>
        <w:t xml:space="preserve"> </w:t>
      </w:r>
      <w:r>
        <w:rPr>
          <w:rFonts w:hint="eastAsia" w:ascii="Times New Roman" w:hAnsi="Times New Roman" w:cs="Times New Roman" w:eastAsiaTheme="minorEastAsia"/>
          <w:i/>
          <w:iCs/>
          <w:sz w:val="20"/>
          <w:szCs w:val="20"/>
        </w:rPr>
        <w:t>The m</w:t>
      </w:r>
      <w:r>
        <w:rPr>
          <w:rFonts w:ascii="Times New Roman" w:hAnsi="Times New Roman" w:cs="Times New Roman" w:eastAsiaTheme="minorEastAsia"/>
          <w:i/>
          <w:iCs/>
          <w:sz w:val="20"/>
          <w:szCs w:val="20"/>
        </w:rPr>
        <w:t>easurement period</w:t>
      </w:r>
      <w:r>
        <w:rPr>
          <w:rFonts w:hint="eastAsia" w:ascii="Times New Roman" w:hAnsi="Times New Roman" w:cs="Times New Roman" w:eastAsiaTheme="minorEastAsia"/>
          <w:i/>
          <w:iCs/>
          <w:sz w:val="20"/>
          <w:szCs w:val="20"/>
        </w:rPr>
        <w:t xml:space="preserve"> defined in inter-</w:t>
      </w:r>
      <w:r>
        <w:rPr>
          <w:rFonts w:ascii="Times New Roman" w:hAnsi="Times New Roman" w:cs="Times New Roman" w:eastAsiaTheme="minorEastAsia"/>
          <w:i/>
          <w:iCs/>
          <w:sz w:val="20"/>
          <w:szCs w:val="20"/>
        </w:rPr>
        <w:t>frequency</w:t>
      </w:r>
      <w:r>
        <w:rPr>
          <w:rFonts w:hint="eastAsia" w:ascii="Times New Roman" w:hAnsi="Times New Roman" w:cs="Times New Roman" w:eastAsiaTheme="minorEastAsia"/>
          <w:i/>
          <w:iCs/>
          <w:sz w:val="20"/>
          <w:szCs w:val="20"/>
        </w:rPr>
        <w:t xml:space="preserve"> </w:t>
      </w:r>
      <w:r>
        <w:rPr>
          <w:rFonts w:ascii="Times New Roman" w:hAnsi="Times New Roman" w:cs="Times New Roman" w:eastAsiaTheme="minorEastAsia"/>
          <w:i/>
          <w:iCs/>
          <w:sz w:val="20"/>
          <w:szCs w:val="20"/>
        </w:rPr>
        <w:t>measurement</w:t>
      </w:r>
      <w:r>
        <w:rPr>
          <w:rFonts w:hint="eastAsia" w:ascii="Times New Roman" w:hAnsi="Times New Roman" w:cs="Times New Roman" w:eastAsiaTheme="minorEastAsia"/>
          <w:i/>
          <w:iCs/>
          <w:sz w:val="20"/>
          <w:szCs w:val="20"/>
        </w:rPr>
        <w:t xml:space="preserve"> </w:t>
      </w:r>
      <w:r>
        <w:rPr>
          <w:rFonts w:ascii="Times New Roman" w:hAnsi="Times New Roman" w:cs="Times New Roman" w:eastAsiaTheme="minorEastAsia"/>
          <w:i/>
          <w:iCs/>
          <w:sz w:val="20"/>
          <w:szCs w:val="20"/>
        </w:rPr>
        <w:t xml:space="preserve">with measurement gaps </w:t>
      </w:r>
      <w:r>
        <w:rPr>
          <w:rFonts w:hint="eastAsia" w:ascii="Times New Roman" w:hAnsi="Times New Roman" w:cs="Times New Roman" w:eastAsiaTheme="minorEastAsia"/>
          <w:i/>
          <w:iCs/>
          <w:sz w:val="20"/>
          <w:szCs w:val="20"/>
        </w:rPr>
        <w:t xml:space="preserve">requirements should be relaxed for </w:t>
      </w:r>
      <w:r>
        <w:rPr>
          <w:rFonts w:ascii="Times New Roman" w:hAnsi="Times New Roman" w:cs="Times New Roman" w:eastAsiaTheme="minorEastAsia"/>
          <w:i/>
          <w:iCs/>
          <w:sz w:val="20"/>
          <w:szCs w:val="20"/>
        </w:rPr>
        <w:t>1Rx (e)RedCap UEs with FR1-NTN bands</w:t>
      </w:r>
      <w:r>
        <w:rPr>
          <w:rFonts w:hint="eastAsia" w:ascii="Times New Roman" w:hAnsi="Times New Roman" w:cs="Times New Roman" w:eastAsiaTheme="minorEastAsia"/>
          <w:i/>
          <w:iCs/>
          <w:sz w:val="20"/>
          <w:szCs w:val="20"/>
        </w:rPr>
        <w:t xml:space="preserve"> compared to those defined for 2Rx </w:t>
      </w:r>
      <w:r>
        <w:rPr>
          <w:rFonts w:ascii="Times New Roman" w:hAnsi="Times New Roman" w:cs="Times New Roman" w:eastAsiaTheme="minorEastAsia"/>
          <w:i/>
          <w:iCs/>
          <w:sz w:val="20"/>
          <w:szCs w:val="20"/>
        </w:rPr>
        <w:t>(e)RedCap UEs</w:t>
      </w:r>
      <w:r>
        <w:rPr>
          <w:rFonts w:hint="eastAsia" w:ascii="Times New Roman" w:hAnsi="Times New Roman" w:cs="Times New Roman" w:eastAsiaTheme="minorEastAsia"/>
          <w:i/>
          <w:iCs/>
          <w:sz w:val="20"/>
          <w:szCs w:val="20"/>
        </w:rPr>
        <w:t>.</w:t>
      </w:r>
    </w:p>
    <w:p w14:paraId="534EB038">
      <w:pPr>
        <w:numPr>
          <w:ilvl w:val="2"/>
          <w:numId w:val="6"/>
        </w:numPr>
        <w:spacing w:after="120"/>
        <w:ind w:left="1956" w:leftChars="0" w:hanging="360" w:firstLineChars="0"/>
        <w:rPr>
          <w:rFonts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 xml:space="preserve">Reuse the same </w:t>
      </w:r>
      <w:r>
        <w:rPr>
          <w:rFonts w:ascii="Times New Roman" w:hAnsi="Times New Roman" w:cs="Times New Roman" w:eastAsiaTheme="minorEastAsia"/>
          <w:i/>
          <w:iCs/>
          <w:sz w:val="20"/>
          <w:szCs w:val="20"/>
        </w:rPr>
        <w:t xml:space="preserve">extensions </w:t>
      </w:r>
      <w:r>
        <w:rPr>
          <w:rFonts w:hint="eastAsia" w:ascii="Times New Roman" w:hAnsi="Times New Roman" w:cs="Times New Roman" w:eastAsiaTheme="minorEastAsia"/>
          <w:i/>
          <w:iCs/>
          <w:sz w:val="20"/>
          <w:szCs w:val="20"/>
        </w:rPr>
        <w:t xml:space="preserve">for </w:t>
      </w:r>
      <w:r>
        <w:rPr>
          <w:rFonts w:ascii="Times New Roman" w:hAnsi="Times New Roman" w:cs="Times New Roman" w:eastAsiaTheme="minorEastAsia"/>
          <w:i/>
          <w:iCs/>
          <w:sz w:val="20"/>
          <w:szCs w:val="20"/>
        </w:rPr>
        <w:t>1Rx</w:t>
      </w:r>
      <w:r>
        <w:rPr>
          <w:rFonts w:hint="eastAsia" w:ascii="Times New Roman" w:hAnsi="Times New Roman" w:cs="Times New Roman" w:eastAsiaTheme="minorEastAsia"/>
          <w:i/>
          <w:iCs/>
          <w:sz w:val="20"/>
          <w:szCs w:val="20"/>
        </w:rPr>
        <w:t xml:space="preserve"> RedCap UE in TN network.</w:t>
      </w:r>
    </w:p>
    <w:p w14:paraId="08AC7970">
      <w:pPr>
        <w:numPr>
          <w:ilvl w:val="3"/>
          <w:numId w:val="6"/>
        </w:numPr>
        <w:spacing w:after="120"/>
        <w:ind w:left="2676" w:leftChars="0" w:hanging="360" w:firstLineChars="0"/>
        <w:rPr>
          <w:rFonts w:ascii="Times New Roman" w:hAnsi="Times New Roman" w:cs="Times New Roman" w:eastAsiaTheme="minorEastAsia"/>
          <w:i/>
          <w:iCs/>
          <w:sz w:val="20"/>
          <w:szCs w:val="18"/>
        </w:rPr>
      </w:pPr>
      <w:r>
        <w:rPr>
          <w:rFonts w:ascii="Times New Roman" w:hAnsi="Times New Roman" w:cs="Times New Roman" w:eastAsiaTheme="minorEastAsia"/>
          <w:i/>
          <w:iCs/>
          <w:sz w:val="20"/>
          <w:szCs w:val="18"/>
        </w:rPr>
        <w:t>Extend the lower boundary from ‘200 ms’ to ‘400ms’</w:t>
      </w:r>
    </w:p>
    <w:p w14:paraId="03A54A09">
      <w:pPr>
        <w:numPr>
          <w:ilvl w:val="3"/>
          <w:numId w:val="6"/>
        </w:numPr>
        <w:spacing w:after="120"/>
        <w:ind w:left="2676" w:leftChars="0" w:hanging="360" w:firstLineChars="0"/>
        <w:rPr>
          <w:rFonts w:ascii="Times New Roman" w:hAnsi="Times New Roman" w:cs="Times New Roman" w:eastAsiaTheme="minorEastAsia"/>
          <w:i/>
          <w:iCs/>
          <w:sz w:val="20"/>
          <w:szCs w:val="18"/>
        </w:rPr>
      </w:pPr>
      <w:r>
        <w:rPr>
          <w:rFonts w:ascii="Times New Roman" w:hAnsi="Times New Roman" w:cs="Times New Roman" w:eastAsiaTheme="minorEastAsia"/>
          <w:i/>
          <w:iCs/>
          <w:sz w:val="20"/>
          <w:szCs w:val="18"/>
        </w:rPr>
        <w:t>Keep the same number of samples for T</w:t>
      </w:r>
      <w:r>
        <w:rPr>
          <w:rFonts w:ascii="Times New Roman" w:hAnsi="Times New Roman" w:cs="Times New Roman" w:eastAsiaTheme="minorEastAsia"/>
          <w:i/>
          <w:iCs/>
          <w:sz w:val="20"/>
          <w:szCs w:val="18"/>
          <w:vertAlign w:val="subscript"/>
        </w:rPr>
        <w:t xml:space="preserve"> SSB_measurement_period_inter</w:t>
      </w:r>
      <w:r>
        <w:rPr>
          <w:rFonts w:ascii="Times New Roman" w:hAnsi="Times New Roman" w:cs="Times New Roman" w:eastAsiaTheme="minorEastAsia"/>
          <w:i/>
          <w:iCs/>
          <w:sz w:val="20"/>
          <w:szCs w:val="18"/>
        </w:rPr>
        <w:t>.</w:t>
      </w:r>
    </w:p>
    <w:p w14:paraId="363195EC">
      <w:pPr>
        <w:numPr>
          <w:ilvl w:val="1"/>
          <w:numId w:val="6"/>
        </w:numPr>
        <w:spacing w:after="120"/>
        <w:ind w:left="1236" w:leftChars="0" w:hanging="360" w:firstLineChars="0"/>
        <w:rPr>
          <w:rFonts w:ascii="Times New Roman" w:hAnsi="Times New Roman" w:cs="Times New Roman" w:eastAsiaTheme="minorEastAsia"/>
          <w:i/>
          <w:iCs/>
          <w:sz w:val="20"/>
          <w:szCs w:val="20"/>
        </w:rPr>
      </w:pPr>
      <w:r>
        <w:rPr>
          <w:rFonts w:ascii="Times New Roman" w:hAnsi="Times New Roman" w:cs="Times New Roman"/>
          <w:i/>
          <w:iCs/>
          <w:sz w:val="20"/>
          <w:szCs w:val="20"/>
        </w:rPr>
        <w:t xml:space="preserve">Proposal </w:t>
      </w:r>
      <w:r>
        <w:rPr>
          <w:rFonts w:hint="eastAsia" w:ascii="Times New Roman" w:hAnsi="Times New Roman" w:cs="Times New Roman"/>
          <w:i/>
          <w:iCs/>
          <w:sz w:val="20"/>
          <w:szCs w:val="20"/>
        </w:rPr>
        <w:t>4</w:t>
      </w:r>
      <w:r>
        <w:rPr>
          <w:rFonts w:ascii="Times New Roman" w:hAnsi="Times New Roman" w:cs="Times New Roman"/>
          <w:i/>
          <w:iCs/>
          <w:sz w:val="20"/>
          <w:szCs w:val="20"/>
        </w:rPr>
        <w:t xml:space="preserve"> (</w:t>
      </w:r>
      <w:r>
        <w:rPr>
          <w:rFonts w:hint="eastAsia" w:ascii="Times New Roman" w:hAnsi="Times New Roman" w:cs="Times New Roman"/>
          <w:i/>
          <w:iCs/>
          <w:sz w:val="20"/>
          <w:szCs w:val="20"/>
        </w:rPr>
        <w:t>CATT, CMCC, ZTE, HW</w:t>
      </w:r>
      <w:r>
        <w:rPr>
          <w:rFonts w:ascii="Times New Roman" w:hAnsi="Times New Roman" w:cs="Times New Roman"/>
          <w:i/>
          <w:iCs/>
          <w:sz w:val="20"/>
          <w:szCs w:val="20"/>
        </w:rPr>
        <w:t>):</w:t>
      </w:r>
      <w:r>
        <w:rPr>
          <w:rFonts w:hint="eastAsia" w:ascii="Times New Roman" w:hAnsi="Times New Roman" w:cs="Times New Roman"/>
          <w:i/>
          <w:iCs/>
          <w:sz w:val="20"/>
          <w:szCs w:val="20"/>
        </w:rPr>
        <w:t xml:space="preserve"> </w:t>
      </w:r>
      <w:r>
        <w:rPr>
          <w:rFonts w:hint="eastAsia" w:ascii="Times New Roman" w:hAnsi="Times New Roman" w:cs="Times New Roman" w:eastAsiaTheme="minorEastAsia"/>
          <w:i/>
          <w:iCs/>
          <w:sz w:val="20"/>
          <w:szCs w:val="20"/>
        </w:rPr>
        <w:t>The m</w:t>
      </w:r>
      <w:r>
        <w:rPr>
          <w:rFonts w:ascii="Times New Roman" w:hAnsi="Times New Roman" w:cs="Times New Roman" w:eastAsiaTheme="minorEastAsia"/>
          <w:i/>
          <w:iCs/>
          <w:sz w:val="20"/>
          <w:szCs w:val="20"/>
        </w:rPr>
        <w:t>easurement period</w:t>
      </w:r>
      <w:r>
        <w:rPr>
          <w:rFonts w:hint="eastAsia" w:ascii="Times New Roman" w:hAnsi="Times New Roman" w:cs="Times New Roman" w:eastAsiaTheme="minorEastAsia"/>
          <w:i/>
          <w:iCs/>
          <w:sz w:val="20"/>
          <w:szCs w:val="20"/>
        </w:rPr>
        <w:t xml:space="preserve"> defined in intra-</w:t>
      </w:r>
      <w:r>
        <w:rPr>
          <w:rFonts w:ascii="Times New Roman" w:hAnsi="Times New Roman" w:cs="Times New Roman" w:eastAsiaTheme="minorEastAsia"/>
          <w:i/>
          <w:iCs/>
          <w:sz w:val="20"/>
          <w:szCs w:val="20"/>
        </w:rPr>
        <w:t>frequency</w:t>
      </w:r>
      <w:r>
        <w:rPr>
          <w:rFonts w:hint="eastAsia" w:ascii="Times New Roman" w:hAnsi="Times New Roman" w:cs="Times New Roman" w:eastAsiaTheme="minorEastAsia"/>
          <w:i/>
          <w:iCs/>
          <w:sz w:val="20"/>
          <w:szCs w:val="20"/>
        </w:rPr>
        <w:t xml:space="preserve"> </w:t>
      </w:r>
      <w:r>
        <w:rPr>
          <w:rFonts w:ascii="Times New Roman" w:hAnsi="Times New Roman" w:cs="Times New Roman" w:eastAsiaTheme="minorEastAsia"/>
          <w:i/>
          <w:iCs/>
          <w:sz w:val="20"/>
          <w:szCs w:val="20"/>
        </w:rPr>
        <w:t>measurement</w:t>
      </w:r>
      <w:r>
        <w:rPr>
          <w:rFonts w:hint="eastAsia" w:ascii="Times New Roman" w:hAnsi="Times New Roman" w:cs="Times New Roman" w:eastAsiaTheme="minorEastAsia"/>
          <w:i/>
          <w:iCs/>
          <w:sz w:val="20"/>
          <w:szCs w:val="20"/>
        </w:rPr>
        <w:t xml:space="preserve"> with/without gap and inter-</w:t>
      </w:r>
      <w:r>
        <w:rPr>
          <w:rFonts w:ascii="Times New Roman" w:hAnsi="Times New Roman" w:cs="Times New Roman" w:eastAsiaTheme="minorEastAsia"/>
          <w:i/>
          <w:iCs/>
          <w:sz w:val="20"/>
          <w:szCs w:val="20"/>
        </w:rPr>
        <w:t>frequency</w:t>
      </w:r>
      <w:r>
        <w:rPr>
          <w:rFonts w:hint="eastAsia" w:ascii="Times New Roman" w:hAnsi="Times New Roman" w:cs="Times New Roman" w:eastAsiaTheme="minorEastAsia"/>
          <w:i/>
          <w:iCs/>
          <w:sz w:val="20"/>
          <w:szCs w:val="20"/>
        </w:rPr>
        <w:t xml:space="preserve"> </w:t>
      </w:r>
      <w:r>
        <w:rPr>
          <w:rFonts w:ascii="Times New Roman" w:hAnsi="Times New Roman" w:cs="Times New Roman" w:eastAsiaTheme="minorEastAsia"/>
          <w:i/>
          <w:iCs/>
          <w:sz w:val="20"/>
          <w:szCs w:val="20"/>
        </w:rPr>
        <w:t>measurement</w:t>
      </w:r>
      <w:r>
        <w:rPr>
          <w:rFonts w:hint="eastAsia" w:ascii="Times New Roman" w:hAnsi="Times New Roman" w:cs="Times New Roman" w:eastAsiaTheme="minorEastAsia"/>
          <w:i/>
          <w:iCs/>
          <w:sz w:val="20"/>
          <w:szCs w:val="20"/>
        </w:rPr>
        <w:t xml:space="preserve"> </w:t>
      </w:r>
      <w:r>
        <w:rPr>
          <w:rFonts w:ascii="Times New Roman" w:hAnsi="Times New Roman" w:cs="Times New Roman" w:eastAsiaTheme="minorEastAsia"/>
          <w:i/>
          <w:iCs/>
          <w:sz w:val="20"/>
          <w:szCs w:val="20"/>
        </w:rPr>
        <w:t>with</w:t>
      </w:r>
      <w:r>
        <w:rPr>
          <w:rFonts w:hint="eastAsia" w:ascii="Times New Roman" w:hAnsi="Times New Roman" w:cs="Times New Roman" w:eastAsiaTheme="minorEastAsia"/>
          <w:i/>
          <w:iCs/>
          <w:sz w:val="20"/>
          <w:szCs w:val="20"/>
        </w:rPr>
        <w:t>out</w:t>
      </w:r>
      <w:r>
        <w:rPr>
          <w:rFonts w:ascii="Times New Roman" w:hAnsi="Times New Roman" w:cs="Times New Roman" w:eastAsiaTheme="minorEastAsia"/>
          <w:i/>
          <w:iCs/>
          <w:sz w:val="20"/>
          <w:szCs w:val="20"/>
        </w:rPr>
        <w:t xml:space="preserve"> gaps </w:t>
      </w:r>
      <w:r>
        <w:rPr>
          <w:rFonts w:hint="eastAsia" w:ascii="Times New Roman" w:hAnsi="Times New Roman" w:cs="Times New Roman" w:eastAsiaTheme="minorEastAsia"/>
          <w:i/>
          <w:iCs/>
          <w:sz w:val="20"/>
          <w:szCs w:val="20"/>
        </w:rPr>
        <w:t xml:space="preserve">requirements for </w:t>
      </w:r>
      <w:r>
        <w:rPr>
          <w:rFonts w:ascii="Times New Roman" w:hAnsi="Times New Roman" w:cs="Times New Roman" w:eastAsiaTheme="minorEastAsia"/>
          <w:i/>
          <w:iCs/>
          <w:sz w:val="20"/>
          <w:szCs w:val="20"/>
        </w:rPr>
        <w:t>1Rx</w:t>
      </w:r>
      <w:r>
        <w:rPr>
          <w:rFonts w:hint="eastAsia" w:ascii="Times New Roman" w:hAnsi="Times New Roman" w:cs="Times New Roman" w:eastAsiaTheme="minorEastAsia"/>
          <w:i/>
          <w:iCs/>
          <w:sz w:val="20"/>
          <w:szCs w:val="20"/>
        </w:rPr>
        <w:t xml:space="preserve"> and 2Rx</w:t>
      </w:r>
      <w:r>
        <w:rPr>
          <w:rFonts w:ascii="Times New Roman" w:hAnsi="Times New Roman" w:cs="Times New Roman" w:eastAsiaTheme="minorEastAsia"/>
          <w:i/>
          <w:iCs/>
          <w:sz w:val="20"/>
          <w:szCs w:val="20"/>
        </w:rPr>
        <w:t xml:space="preserve"> (e)RedCap UEs</w:t>
      </w:r>
      <w:r>
        <w:rPr>
          <w:rFonts w:hint="eastAsia" w:ascii="Times New Roman" w:hAnsi="Times New Roman" w:cs="Times New Roman" w:eastAsiaTheme="minorEastAsia"/>
          <w:i/>
          <w:iCs/>
          <w:sz w:val="20"/>
          <w:szCs w:val="20"/>
        </w:rPr>
        <w:t xml:space="preserve"> </w:t>
      </w:r>
      <w:r>
        <w:rPr>
          <w:rFonts w:ascii="Times New Roman" w:hAnsi="Times New Roman" w:cs="Times New Roman" w:eastAsiaTheme="minorEastAsia"/>
          <w:i/>
          <w:iCs/>
          <w:sz w:val="20"/>
          <w:szCs w:val="20"/>
        </w:rPr>
        <w:t>with FR1-NTN bands</w:t>
      </w:r>
      <w:r>
        <w:rPr>
          <w:rFonts w:hint="eastAsia" w:ascii="Times New Roman" w:hAnsi="Times New Roman" w:cs="Times New Roman" w:eastAsiaTheme="minorEastAsia"/>
          <w:i/>
          <w:iCs/>
          <w:sz w:val="20"/>
          <w:szCs w:val="20"/>
        </w:rPr>
        <w:t xml:space="preserve"> will be the same.</w:t>
      </w:r>
    </w:p>
    <w:p w14:paraId="2198521A">
      <w:pPr>
        <w:numPr>
          <w:ilvl w:val="1"/>
          <w:numId w:val="6"/>
        </w:numPr>
        <w:spacing w:after="120"/>
        <w:ind w:left="1236" w:leftChars="0" w:hanging="360" w:firstLineChars="0"/>
        <w:rPr>
          <w:rFonts w:ascii="Times New Roman" w:hAnsi="Times New Roman" w:cs="Times New Roman" w:eastAsiaTheme="minorEastAsia"/>
          <w:i/>
          <w:iCs/>
          <w:sz w:val="20"/>
          <w:szCs w:val="20"/>
        </w:rPr>
      </w:pPr>
      <w:r>
        <w:rPr>
          <w:rFonts w:ascii="Times New Roman" w:hAnsi="Times New Roman" w:cs="Times New Roman"/>
          <w:i/>
          <w:iCs/>
          <w:sz w:val="20"/>
          <w:szCs w:val="20"/>
        </w:rPr>
        <w:t xml:space="preserve">Proposal </w:t>
      </w:r>
      <w:r>
        <w:rPr>
          <w:rFonts w:hint="eastAsia" w:ascii="Times New Roman" w:hAnsi="Times New Roman" w:cs="Times New Roman"/>
          <w:i/>
          <w:iCs/>
          <w:sz w:val="20"/>
          <w:szCs w:val="20"/>
        </w:rPr>
        <w:t>5</w:t>
      </w:r>
      <w:r>
        <w:rPr>
          <w:rFonts w:ascii="Times New Roman" w:hAnsi="Times New Roman" w:cs="Times New Roman"/>
          <w:i/>
          <w:iCs/>
          <w:sz w:val="20"/>
          <w:szCs w:val="20"/>
        </w:rPr>
        <w:t xml:space="preserve"> (</w:t>
      </w:r>
      <w:r>
        <w:rPr>
          <w:rFonts w:hint="eastAsia" w:ascii="Times New Roman" w:hAnsi="Times New Roman" w:cs="Times New Roman"/>
          <w:i/>
          <w:iCs/>
          <w:sz w:val="20"/>
          <w:szCs w:val="20"/>
        </w:rPr>
        <w:t>CATT, CMCC, HW</w:t>
      </w:r>
      <w:r>
        <w:rPr>
          <w:rFonts w:ascii="Times New Roman" w:hAnsi="Times New Roman" w:cs="Times New Roman"/>
          <w:i/>
          <w:iCs/>
          <w:sz w:val="20"/>
          <w:szCs w:val="20"/>
        </w:rPr>
        <w:t>):</w:t>
      </w:r>
      <w:r>
        <w:rPr>
          <w:rFonts w:hint="eastAsia" w:ascii="Times New Roman" w:hAnsi="Times New Roman" w:cs="Times New Roman"/>
          <w:i/>
          <w:iCs/>
          <w:sz w:val="20"/>
          <w:szCs w:val="20"/>
        </w:rPr>
        <w:t xml:space="preserve"> </w:t>
      </w:r>
      <w:r>
        <w:rPr>
          <w:rFonts w:ascii="Times New Roman" w:hAnsi="Times New Roman" w:cs="Times New Roman" w:eastAsiaTheme="minorEastAsia"/>
          <w:i/>
          <w:iCs/>
          <w:sz w:val="20"/>
          <w:szCs w:val="20"/>
        </w:rPr>
        <w:t>The SSB and CSI-RS based L1-RSRP measurement requirements for 1Rx and 2Rx (e)RedCap UEs with FR1-NTN bands will be the same.</w:t>
      </w:r>
    </w:p>
    <w:p w14:paraId="7EE49DEE">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 xml:space="preserve">For measurement requirements </w:t>
      </w:r>
      <w:r>
        <w:rPr>
          <w:rFonts w:hint="eastAsia"/>
          <w:kern w:val="2"/>
          <w:sz w:val="20"/>
          <w:szCs w:val="20"/>
          <w:lang w:val="en-US" w:eastAsia="ko-KR"/>
        </w:rPr>
        <w:t>RRC_</w:t>
      </w:r>
      <w:r>
        <w:rPr>
          <w:rFonts w:hint="eastAsia"/>
          <w:kern w:val="2"/>
          <w:sz w:val="20"/>
          <w:szCs w:val="20"/>
          <w:lang w:val="en-US" w:eastAsia="zh-CN"/>
        </w:rPr>
        <w:t>CONNECTED</w:t>
      </w:r>
      <w:r>
        <w:rPr>
          <w:rFonts w:hint="eastAsia"/>
          <w:kern w:val="2"/>
          <w:sz w:val="20"/>
          <w:szCs w:val="20"/>
          <w:lang w:val="en-US" w:eastAsia="ko-KR"/>
        </w:rPr>
        <w:t xml:space="preserve"> mode</w:t>
      </w:r>
      <w:r>
        <w:rPr>
          <w:rFonts w:hint="eastAsia"/>
          <w:kern w:val="2"/>
          <w:sz w:val="20"/>
          <w:szCs w:val="20"/>
          <w:lang w:val="en-US" w:eastAsia="zh-CN"/>
        </w:rPr>
        <w:t>, except the impact from some optional features which haven</w:t>
      </w:r>
      <w:r>
        <w:rPr>
          <w:rFonts w:hint="default"/>
          <w:kern w:val="2"/>
          <w:sz w:val="20"/>
          <w:szCs w:val="20"/>
          <w:lang w:val="en-US" w:eastAsia="zh-CN"/>
        </w:rPr>
        <w:t>’</w:t>
      </w:r>
      <w:r>
        <w:rPr>
          <w:rFonts w:hint="eastAsia"/>
          <w:kern w:val="2"/>
          <w:sz w:val="20"/>
          <w:szCs w:val="20"/>
          <w:lang w:val="en-US" w:eastAsia="zh-CN"/>
        </w:rPr>
        <w:t xml:space="preserve">t discussed or agreed so far, for instance, parallel measurements on cells belonging to a different NGSO satellite than a serving satellite without scheduling restrictions on normal operations with the serving cell, and Parallel measurements on multiple NGSO satellites within a SMTC, the way forward from RAN4#112bis meeting exactly follow the same principle </w:t>
      </w:r>
      <w:r>
        <w:rPr>
          <w:rFonts w:hint="eastAsia"/>
          <w:kern w:val="2"/>
          <w:sz w:val="20"/>
          <w:szCs w:val="20"/>
          <w:lang w:val="en-US" w:eastAsia="ja-JP"/>
        </w:rPr>
        <w:t>for (e)RedCap UE in TN network</w:t>
      </w:r>
      <w:r>
        <w:rPr>
          <w:rFonts w:hint="eastAsia"/>
          <w:kern w:val="2"/>
          <w:sz w:val="20"/>
          <w:szCs w:val="20"/>
          <w:lang w:val="en-US" w:eastAsia="zh-CN"/>
        </w:rPr>
        <w:t>, we support all of them.</w:t>
      </w:r>
    </w:p>
    <w:p w14:paraId="7E20EFDD">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18: For measurement requirements RRC_CONNECTED mode, except the impact from some optional features which haven’t discussed or agreed so far, for instance, parallel measurements on cells belonging to a different NGSO satellite than a serving satellite without scheduling restrictions on normal operations with the serving cell, and Parallel measurements on multiple NGSO satellites within a SMTC, support the way forward from RAN4#112bis meeting.</w:t>
      </w:r>
    </w:p>
    <w:p w14:paraId="5C6E23CC">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p>
    <w:p w14:paraId="0494A99D">
      <w:pPr>
        <w:outlineLvl w:val="9"/>
        <w:rPr>
          <w:rFonts w:hint="eastAsia"/>
          <w:b/>
          <w:i/>
          <w:iCs/>
          <w:sz w:val="20"/>
          <w:szCs w:val="20"/>
          <w:highlight w:val="none"/>
          <w:u w:val="single"/>
          <w:lang w:val="en-GB" w:eastAsia="ko-KR"/>
        </w:rPr>
      </w:pPr>
      <w:r>
        <w:rPr>
          <w:rFonts w:hint="eastAsia"/>
          <w:b/>
          <w:i/>
          <w:iCs/>
          <w:sz w:val="20"/>
          <w:szCs w:val="20"/>
          <w:highlight w:val="none"/>
          <w:u w:val="single"/>
          <w:lang w:val="en-US" w:eastAsia="ko-KR"/>
        </w:rPr>
        <w:t>Issue 2-5-1: L1/L3 measurement accuracy for 1Rx/2Rx (e)RedCap UEs with FR1-NTN</w:t>
      </w:r>
    </w:p>
    <w:p w14:paraId="50F48E2A">
      <w:pPr>
        <w:keepNext w:val="0"/>
        <w:keepLines w:val="0"/>
        <w:pageBreakBefore w:val="0"/>
        <w:widowControl/>
        <w:kinsoku/>
        <w:wordWrap/>
        <w:overflowPunct/>
        <w:topLinePunct w:val="0"/>
        <w:autoSpaceDE/>
        <w:autoSpaceDN/>
        <w:bidi w:val="0"/>
        <w:adjustRightInd/>
        <w:snapToGrid/>
        <w:spacing w:after="60"/>
        <w:textAlignment w:val="auto"/>
        <w:rPr>
          <w:rFonts w:eastAsia="宋体"/>
          <w:b/>
          <w:i/>
          <w:iCs/>
          <w:sz w:val="20"/>
          <w:szCs w:val="20"/>
          <w:lang w:eastAsia="zh-CN"/>
        </w:rPr>
      </w:pPr>
      <w:r>
        <w:rPr>
          <w:rFonts w:eastAsia="宋体"/>
          <w:b/>
          <w:i/>
          <w:iCs/>
          <w:sz w:val="20"/>
          <w:szCs w:val="20"/>
          <w:lang w:eastAsia="en-US"/>
        </w:rPr>
        <w:t>&lt;Way Forward&gt;</w:t>
      </w:r>
      <w:r>
        <w:rPr>
          <w:rFonts w:hint="eastAsia" w:eastAsia="宋体"/>
          <w:b/>
          <w:i/>
          <w:iCs/>
          <w:sz w:val="20"/>
          <w:szCs w:val="20"/>
          <w:lang w:eastAsia="zh-CN"/>
        </w:rPr>
        <w:t>:</w:t>
      </w:r>
    </w:p>
    <w:p w14:paraId="70C2CB0E">
      <w:pPr>
        <w:numPr>
          <w:ilvl w:val="0"/>
          <w:numId w:val="6"/>
        </w:numPr>
        <w:spacing w:after="120"/>
        <w:ind w:left="516" w:hanging="360"/>
        <w:rPr>
          <w:rFonts w:ascii="Times New Roman" w:hAnsi="Times New Roman" w:cs="Times New Roman"/>
          <w:i/>
          <w:iCs/>
          <w:sz w:val="20"/>
          <w:szCs w:val="20"/>
        </w:rPr>
      </w:pPr>
      <w:r>
        <w:rPr>
          <w:rFonts w:hint="eastAsia" w:ascii="Times New Roman" w:hAnsi="Times New Roman" w:cs="Times New Roman"/>
          <w:i/>
          <w:iCs/>
          <w:sz w:val="20"/>
          <w:szCs w:val="20"/>
        </w:rPr>
        <w:t>F</w:t>
      </w:r>
      <w:r>
        <w:rPr>
          <w:rFonts w:ascii="Times New Roman" w:hAnsi="Times New Roman" w:cs="Times New Roman"/>
          <w:i/>
          <w:iCs/>
          <w:sz w:val="20"/>
          <w:szCs w:val="20"/>
        </w:rPr>
        <w:t>or 2Rx</w:t>
      </w:r>
      <w:r>
        <w:rPr>
          <w:rFonts w:hint="eastAsia" w:ascii="Times New Roman" w:hAnsi="Times New Roman" w:cs="Times New Roman"/>
          <w:i/>
          <w:iCs/>
          <w:sz w:val="20"/>
          <w:szCs w:val="20"/>
        </w:rPr>
        <w:t xml:space="preserve"> </w:t>
      </w:r>
      <w:r>
        <w:rPr>
          <w:rFonts w:ascii="Times New Roman" w:hAnsi="Times New Roman" w:cs="Times New Roman"/>
          <w:i/>
          <w:iCs/>
          <w:sz w:val="20"/>
          <w:szCs w:val="20"/>
        </w:rPr>
        <w:t xml:space="preserve">(e)RedCap UEs with FR1-NTN bands, </w:t>
      </w:r>
    </w:p>
    <w:p w14:paraId="68CF82A3">
      <w:pPr>
        <w:numPr>
          <w:ilvl w:val="1"/>
          <w:numId w:val="6"/>
        </w:numPr>
        <w:spacing w:after="120"/>
        <w:ind w:left="1236" w:leftChars="0" w:hanging="360" w:firstLineChars="0"/>
        <w:rPr>
          <w:rFonts w:ascii="Times New Roman" w:hAnsi="Times New Roman" w:cs="Times New Roman" w:eastAsiaTheme="minorEastAsia"/>
          <w:i/>
          <w:iCs/>
          <w:sz w:val="20"/>
          <w:szCs w:val="20"/>
        </w:rPr>
      </w:pPr>
      <w:r>
        <w:rPr>
          <w:rFonts w:ascii="Times New Roman" w:hAnsi="Times New Roman" w:cs="Times New Roman" w:eastAsiaTheme="minorEastAsia"/>
          <w:i/>
          <w:iCs/>
          <w:sz w:val="20"/>
          <w:szCs w:val="20"/>
        </w:rPr>
        <w:t>Proposal 1 (CATT</w:t>
      </w:r>
      <w:r>
        <w:rPr>
          <w:rFonts w:hint="eastAsia" w:ascii="Times New Roman" w:hAnsi="Times New Roman" w:cs="Times New Roman" w:eastAsiaTheme="minorEastAsia"/>
          <w:i/>
          <w:iCs/>
          <w:sz w:val="20"/>
          <w:szCs w:val="20"/>
        </w:rPr>
        <w:t>, Samsung, CMCC, ZTE</w:t>
      </w:r>
      <w:r>
        <w:rPr>
          <w:rFonts w:ascii="Times New Roman" w:hAnsi="Times New Roman" w:cs="Times New Roman" w:eastAsiaTheme="minorEastAsia"/>
          <w:i/>
          <w:iCs/>
          <w:sz w:val="20"/>
          <w:szCs w:val="20"/>
        </w:rPr>
        <w:t>):</w:t>
      </w:r>
      <w:r>
        <w:rPr>
          <w:rFonts w:hint="eastAsia"/>
          <w:i/>
          <w:iCs/>
        </w:rPr>
        <w:t xml:space="preserve"> </w:t>
      </w:r>
      <w:r>
        <w:rPr>
          <w:rFonts w:ascii="Times New Roman" w:hAnsi="Times New Roman" w:cs="Times New Roman" w:eastAsiaTheme="minorEastAsia"/>
          <w:i/>
          <w:iCs/>
          <w:sz w:val="20"/>
          <w:szCs w:val="20"/>
        </w:rPr>
        <w:t>RAN4 to reuse the measurement accuracy requirements for normal UEs</w:t>
      </w:r>
      <w:r>
        <w:rPr>
          <w:rFonts w:hint="eastAsia" w:ascii="Times New Roman" w:hAnsi="Times New Roman" w:cs="Times New Roman" w:eastAsiaTheme="minorEastAsia"/>
          <w:i/>
          <w:iCs/>
          <w:sz w:val="20"/>
          <w:szCs w:val="20"/>
        </w:rPr>
        <w:t xml:space="preserve"> </w:t>
      </w:r>
      <w:r>
        <w:rPr>
          <w:rFonts w:ascii="Times New Roman" w:hAnsi="Times New Roman" w:cs="Times New Roman" w:eastAsiaTheme="minorEastAsia"/>
          <w:i/>
          <w:iCs/>
          <w:sz w:val="20"/>
          <w:szCs w:val="20"/>
        </w:rPr>
        <w:t>defined in NTN</w:t>
      </w:r>
      <w:r>
        <w:rPr>
          <w:rFonts w:hint="eastAsia" w:ascii="Times New Roman" w:hAnsi="Times New Roman" w:cs="Times New Roman" w:eastAsiaTheme="minorEastAsia"/>
          <w:i/>
          <w:iCs/>
          <w:sz w:val="20"/>
          <w:szCs w:val="20"/>
        </w:rPr>
        <w:t>.</w:t>
      </w:r>
    </w:p>
    <w:p w14:paraId="324B294E">
      <w:pPr>
        <w:numPr>
          <w:ilvl w:val="0"/>
          <w:numId w:val="6"/>
        </w:numPr>
        <w:spacing w:after="120"/>
        <w:ind w:left="516" w:hanging="360"/>
        <w:rPr>
          <w:rFonts w:ascii="Times New Roman" w:hAnsi="Times New Roman" w:cs="Times New Roman"/>
          <w:i/>
          <w:iCs/>
          <w:sz w:val="20"/>
          <w:szCs w:val="20"/>
        </w:rPr>
      </w:pPr>
      <w:r>
        <w:rPr>
          <w:rFonts w:hint="eastAsia" w:ascii="Times New Roman" w:hAnsi="Times New Roman" w:cs="Times New Roman"/>
          <w:i/>
          <w:iCs/>
          <w:sz w:val="20"/>
          <w:szCs w:val="20"/>
        </w:rPr>
        <w:t>For 1</w:t>
      </w:r>
      <w:r>
        <w:rPr>
          <w:rFonts w:ascii="Times New Roman" w:hAnsi="Times New Roman" w:cs="Times New Roman"/>
          <w:i/>
          <w:iCs/>
          <w:sz w:val="20"/>
          <w:szCs w:val="20"/>
        </w:rPr>
        <w:t>Rx</w:t>
      </w:r>
      <w:r>
        <w:rPr>
          <w:rFonts w:hint="eastAsia" w:ascii="Times New Roman" w:hAnsi="Times New Roman" w:cs="Times New Roman"/>
          <w:i/>
          <w:iCs/>
          <w:sz w:val="20"/>
          <w:szCs w:val="20"/>
        </w:rPr>
        <w:t xml:space="preserve"> </w:t>
      </w:r>
      <w:r>
        <w:rPr>
          <w:rFonts w:ascii="Times New Roman" w:hAnsi="Times New Roman" w:cs="Times New Roman"/>
          <w:i/>
          <w:iCs/>
          <w:sz w:val="20"/>
          <w:szCs w:val="20"/>
        </w:rPr>
        <w:t>(e)RedCap UEs with FR1-NTN bands</w:t>
      </w:r>
      <w:r>
        <w:rPr>
          <w:rFonts w:hint="eastAsia" w:ascii="Times New Roman" w:hAnsi="Times New Roman" w:cs="Times New Roman"/>
          <w:i/>
          <w:iCs/>
          <w:sz w:val="20"/>
          <w:szCs w:val="20"/>
        </w:rPr>
        <w:t xml:space="preserve">, </w:t>
      </w:r>
    </w:p>
    <w:p w14:paraId="74C8B542">
      <w:pPr>
        <w:numPr>
          <w:ilvl w:val="1"/>
          <w:numId w:val="6"/>
        </w:numPr>
        <w:spacing w:after="120"/>
        <w:ind w:left="1236" w:leftChars="0" w:hanging="360" w:firstLineChars="0"/>
        <w:rPr>
          <w:rFonts w:ascii="Times New Roman" w:hAnsi="Times New Roman" w:cs="Times New Roman" w:eastAsiaTheme="minorEastAsia"/>
          <w:i/>
          <w:iCs/>
          <w:sz w:val="20"/>
          <w:szCs w:val="20"/>
        </w:rPr>
      </w:pPr>
      <w:r>
        <w:rPr>
          <w:rFonts w:ascii="Times New Roman" w:hAnsi="Times New Roman" w:cs="Times New Roman" w:eastAsiaTheme="minorEastAsia"/>
          <w:i/>
          <w:iCs/>
          <w:sz w:val="20"/>
          <w:szCs w:val="20"/>
        </w:rPr>
        <w:t>Proposal 1 (CATT</w:t>
      </w:r>
      <w:r>
        <w:rPr>
          <w:rFonts w:hint="eastAsia" w:ascii="Times New Roman" w:hAnsi="Times New Roman" w:cs="Times New Roman" w:eastAsiaTheme="minorEastAsia"/>
          <w:i/>
          <w:iCs/>
          <w:sz w:val="20"/>
          <w:szCs w:val="20"/>
        </w:rPr>
        <w:t>, Xiaomi, Samsung, [QC?], CMCC, ZTE, [OPPO?], HW</w:t>
      </w:r>
      <w:r>
        <w:rPr>
          <w:rFonts w:ascii="Times New Roman" w:hAnsi="Times New Roman" w:cs="Times New Roman" w:eastAsiaTheme="minorEastAsia"/>
          <w:i/>
          <w:iCs/>
          <w:sz w:val="20"/>
          <w:szCs w:val="20"/>
        </w:rPr>
        <w:t>):</w:t>
      </w:r>
      <w:r>
        <w:rPr>
          <w:rFonts w:hint="eastAsia"/>
          <w:i/>
          <w:iCs/>
        </w:rPr>
        <w:t xml:space="preserve"> </w:t>
      </w:r>
      <w:r>
        <w:rPr>
          <w:rFonts w:hint="eastAsia" w:ascii="Times New Roman" w:hAnsi="Times New Roman" w:cs="Times New Roman" w:eastAsiaTheme="minorEastAsia"/>
          <w:i/>
          <w:iCs/>
          <w:sz w:val="20"/>
          <w:szCs w:val="20"/>
        </w:rPr>
        <w:t>RAN4</w:t>
      </w:r>
      <w:r>
        <w:rPr>
          <w:rFonts w:ascii="Times New Roman" w:hAnsi="Times New Roman" w:cs="Times New Roman" w:eastAsiaTheme="minorEastAsia"/>
          <w:i/>
          <w:iCs/>
          <w:sz w:val="20"/>
          <w:szCs w:val="20"/>
        </w:rPr>
        <w:t xml:space="preserve"> to relax the </w:t>
      </w:r>
      <w:r>
        <w:rPr>
          <w:rFonts w:hint="eastAsia" w:ascii="Times New Roman" w:hAnsi="Times New Roman" w:cs="Times New Roman" w:eastAsiaTheme="minorEastAsia"/>
          <w:i/>
          <w:iCs/>
          <w:sz w:val="20"/>
          <w:szCs w:val="20"/>
        </w:rPr>
        <w:t xml:space="preserve">L1/L3 </w:t>
      </w:r>
      <w:r>
        <w:rPr>
          <w:rFonts w:ascii="Times New Roman" w:hAnsi="Times New Roman" w:cs="Times New Roman" w:eastAsiaTheme="minorEastAsia"/>
          <w:i/>
          <w:iCs/>
          <w:sz w:val="20"/>
          <w:szCs w:val="20"/>
        </w:rPr>
        <w:t>measurement accuracy for SS-RSRP, SS-RSRQ, SS-SINR and L1-RSRP compared to those defined for 2Rx (e)RedCap UEs.</w:t>
      </w:r>
    </w:p>
    <w:p w14:paraId="52B605AF">
      <w:pPr>
        <w:numPr>
          <w:ilvl w:val="2"/>
          <w:numId w:val="6"/>
        </w:numPr>
        <w:spacing w:after="120"/>
        <w:ind w:left="1956" w:leftChars="0" w:hanging="360" w:firstLineChars="0"/>
        <w:rPr>
          <w:rFonts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The same</w:t>
      </w:r>
      <w:r>
        <w:rPr>
          <w:rFonts w:ascii="Times New Roman" w:hAnsi="Times New Roman" w:cs="Times New Roman" w:eastAsiaTheme="minorEastAsia"/>
          <w:i/>
          <w:iCs/>
          <w:sz w:val="20"/>
          <w:szCs w:val="20"/>
        </w:rPr>
        <w:t xml:space="preserve"> relaxation</w:t>
      </w:r>
      <w:r>
        <w:rPr>
          <w:rFonts w:hint="eastAsia" w:ascii="Times New Roman" w:hAnsi="Times New Roman" w:cs="Times New Roman" w:eastAsiaTheme="minorEastAsia"/>
          <w:i/>
          <w:iCs/>
          <w:sz w:val="20"/>
          <w:szCs w:val="20"/>
        </w:rPr>
        <w:t xml:space="preserve"> defined in TN </w:t>
      </w:r>
      <w:r>
        <w:rPr>
          <w:rFonts w:ascii="Times New Roman" w:hAnsi="Times New Roman" w:cs="Times New Roman" w:eastAsiaTheme="minorEastAsia"/>
          <w:i/>
          <w:iCs/>
          <w:sz w:val="20"/>
          <w:szCs w:val="20"/>
        </w:rPr>
        <w:t>for 1Rx</w:t>
      </w:r>
      <w:r>
        <w:rPr>
          <w:rFonts w:hint="eastAsia" w:ascii="Times New Roman" w:hAnsi="Times New Roman" w:cs="Times New Roman" w:eastAsiaTheme="minorEastAsia"/>
          <w:i/>
          <w:iCs/>
          <w:sz w:val="20"/>
          <w:szCs w:val="20"/>
        </w:rPr>
        <w:t xml:space="preserve"> </w:t>
      </w:r>
      <w:r>
        <w:rPr>
          <w:rFonts w:ascii="Times New Roman" w:hAnsi="Times New Roman" w:cs="Times New Roman" w:eastAsiaTheme="minorEastAsia"/>
          <w:i/>
          <w:iCs/>
          <w:sz w:val="20"/>
          <w:szCs w:val="20"/>
        </w:rPr>
        <w:t>(e)RedCap UEs</w:t>
      </w:r>
      <w:r>
        <w:rPr>
          <w:rFonts w:hint="eastAsia" w:ascii="Times New Roman" w:hAnsi="Times New Roman" w:cs="Times New Roman" w:eastAsiaTheme="minorEastAsia"/>
          <w:i/>
          <w:iCs/>
          <w:sz w:val="20"/>
          <w:szCs w:val="20"/>
        </w:rPr>
        <w:t xml:space="preserve"> can be reused.</w:t>
      </w:r>
    </w:p>
    <w:p w14:paraId="2FF9930D">
      <w:pPr>
        <w:numPr>
          <w:ilvl w:val="3"/>
          <w:numId w:val="6"/>
        </w:numPr>
        <w:spacing w:after="120"/>
        <w:ind w:left="2676" w:leftChars="0" w:hanging="360" w:firstLineChars="0"/>
        <w:rPr>
          <w:rFonts w:ascii="Times New Roman" w:hAnsi="Times New Roman" w:cs="Times New Roman" w:eastAsiaTheme="minorEastAsia"/>
          <w:i/>
          <w:iCs/>
          <w:sz w:val="20"/>
          <w:szCs w:val="18"/>
        </w:rPr>
      </w:pPr>
      <w:r>
        <w:rPr>
          <w:rFonts w:ascii="Times New Roman" w:hAnsi="Times New Roman" w:cs="Times New Roman" w:eastAsiaTheme="minorEastAsia"/>
          <w:i/>
          <w:iCs/>
          <w:sz w:val="20"/>
          <w:szCs w:val="18"/>
          <w:lang w:val="en-GB"/>
        </w:rPr>
        <w:t>SS-RSRP, SS-RSRQ, SS-SINR</w:t>
      </w:r>
      <w:r>
        <w:rPr>
          <w:rFonts w:hint="eastAsia" w:ascii="Times New Roman" w:hAnsi="Times New Roman" w:cs="Times New Roman" w:eastAsiaTheme="minorEastAsia"/>
          <w:i/>
          <w:iCs/>
          <w:sz w:val="20"/>
          <w:szCs w:val="18"/>
          <w:lang w:val="en-GB"/>
        </w:rPr>
        <w:t xml:space="preserve">: </w:t>
      </w:r>
      <w:r>
        <w:rPr>
          <w:rFonts w:ascii="Times New Roman" w:hAnsi="Times New Roman" w:cs="Times New Roman" w:eastAsiaTheme="minorEastAsia"/>
          <w:i/>
          <w:iCs/>
          <w:sz w:val="20"/>
          <w:szCs w:val="18"/>
          <w:lang w:val="en-GB"/>
        </w:rPr>
        <w:t>relax by 1dB</w:t>
      </w:r>
      <w:r>
        <w:rPr>
          <w:rFonts w:hint="eastAsia" w:ascii="Times New Roman" w:hAnsi="Times New Roman" w:cs="Times New Roman" w:eastAsiaTheme="minorEastAsia"/>
          <w:i/>
          <w:iCs/>
          <w:sz w:val="20"/>
          <w:szCs w:val="18"/>
          <w:lang w:val="en-GB"/>
        </w:rPr>
        <w:t>.</w:t>
      </w:r>
    </w:p>
    <w:p w14:paraId="73F57AF3">
      <w:pPr>
        <w:numPr>
          <w:ilvl w:val="3"/>
          <w:numId w:val="6"/>
        </w:numPr>
        <w:spacing w:after="120"/>
        <w:ind w:left="2676" w:leftChars="0" w:hanging="360" w:firstLineChars="0"/>
        <w:rPr>
          <w:rFonts w:ascii="Times New Roman" w:hAnsi="Times New Roman" w:cs="Times New Roman" w:eastAsiaTheme="minorEastAsia"/>
          <w:i/>
          <w:iCs/>
          <w:sz w:val="20"/>
          <w:szCs w:val="18"/>
        </w:rPr>
      </w:pPr>
      <w:r>
        <w:rPr>
          <w:rFonts w:ascii="Times New Roman" w:hAnsi="Times New Roman" w:cs="Times New Roman" w:eastAsiaTheme="minorEastAsia"/>
          <w:i/>
          <w:iCs/>
          <w:sz w:val="20"/>
          <w:szCs w:val="18"/>
          <w:lang w:val="en-GB"/>
        </w:rPr>
        <w:t>L1-RSRP</w:t>
      </w:r>
      <w:r>
        <w:rPr>
          <w:rFonts w:hint="eastAsia" w:ascii="Times New Roman" w:hAnsi="Times New Roman" w:cs="Times New Roman" w:eastAsiaTheme="minorEastAsia"/>
          <w:i/>
          <w:iCs/>
          <w:sz w:val="20"/>
          <w:szCs w:val="18"/>
          <w:lang w:val="en-GB"/>
        </w:rPr>
        <w:t>:</w:t>
      </w:r>
      <w:r>
        <w:rPr>
          <w:rFonts w:ascii="Times New Roman" w:hAnsi="Times New Roman" w:cs="Times New Roman" w:eastAsiaTheme="minorEastAsia"/>
          <w:i/>
          <w:iCs/>
          <w:sz w:val="20"/>
          <w:szCs w:val="18"/>
          <w:lang w:val="en-GB"/>
        </w:rPr>
        <w:t xml:space="preserve"> relax by 3dB.</w:t>
      </w:r>
    </w:p>
    <w:p w14:paraId="40CB0CF8">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For measurement accuracy requirement, the way forward from RAN4#112bis meeting exactly follow the same principle </w:t>
      </w:r>
      <w:r>
        <w:rPr>
          <w:rFonts w:hint="eastAsia"/>
          <w:kern w:val="2"/>
          <w:sz w:val="20"/>
          <w:szCs w:val="20"/>
          <w:lang w:val="en-US" w:eastAsia="ja-JP"/>
        </w:rPr>
        <w:t>for (e)RedCap UE in TN network</w:t>
      </w:r>
      <w:r>
        <w:rPr>
          <w:rFonts w:hint="eastAsia"/>
          <w:kern w:val="2"/>
          <w:sz w:val="20"/>
          <w:szCs w:val="20"/>
          <w:lang w:val="en-US" w:eastAsia="zh-CN"/>
        </w:rPr>
        <w:t>, we support all of them.</w:t>
      </w:r>
    </w:p>
    <w:p w14:paraId="365400BE">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19: For measurement accuracy requirement, support the way forward from RAN4#112bis meeting.</w:t>
      </w:r>
    </w:p>
    <w:p w14:paraId="0073B50D">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p>
    <w:p w14:paraId="51CD9AEC">
      <w:pPr>
        <w:pStyle w:val="2"/>
        <w:numPr>
          <w:ilvl w:val="0"/>
          <w:numId w:val="5"/>
        </w:numPr>
        <w:pBdr>
          <w:top w:val="single" w:color="auto" w:sz="12" w:space="3"/>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The impact of HD-FDD</w:t>
      </w:r>
    </w:p>
    <w:p w14:paraId="19703765">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3-1-1: General HD-FDD related impact</w:t>
      </w:r>
    </w:p>
    <w:p w14:paraId="3C2A49F3">
      <w:pPr>
        <w:keepNext w:val="0"/>
        <w:keepLines w:val="0"/>
        <w:pageBreakBefore w:val="0"/>
        <w:widowControl/>
        <w:kinsoku/>
        <w:wordWrap/>
        <w:overflowPunct/>
        <w:topLinePunct w:val="0"/>
        <w:autoSpaceDE/>
        <w:autoSpaceDN/>
        <w:bidi w:val="0"/>
        <w:adjustRightInd/>
        <w:snapToGrid/>
        <w:spacing w:after="60"/>
        <w:textAlignment w:val="auto"/>
        <w:rPr>
          <w:rFonts w:eastAsia="宋体"/>
          <w:b/>
          <w:i/>
          <w:iCs/>
          <w:sz w:val="20"/>
          <w:szCs w:val="20"/>
          <w:lang w:eastAsia="en-US"/>
        </w:rPr>
      </w:pPr>
      <w:r>
        <w:rPr>
          <w:rFonts w:eastAsia="宋体"/>
          <w:b/>
          <w:i/>
          <w:iCs/>
          <w:sz w:val="20"/>
          <w:szCs w:val="20"/>
          <w:lang w:eastAsia="en-US"/>
        </w:rPr>
        <w:t>&lt;Way Forward&gt;</w:t>
      </w:r>
      <w:r>
        <w:rPr>
          <w:rFonts w:hint="eastAsia" w:eastAsia="宋体"/>
          <w:b/>
          <w:i/>
          <w:iCs/>
          <w:sz w:val="20"/>
          <w:szCs w:val="20"/>
          <w:lang w:eastAsia="zh-CN"/>
        </w:rPr>
        <w:t>:</w:t>
      </w:r>
    </w:p>
    <w:p w14:paraId="3BBCC2F7">
      <w:pPr>
        <w:numPr>
          <w:ilvl w:val="0"/>
          <w:numId w:val="6"/>
        </w:numPr>
        <w:spacing w:after="120"/>
        <w:ind w:left="720"/>
        <w:contextualSpacing w:val="0"/>
        <w:rPr>
          <w:rFonts w:ascii="Times New Roman" w:hAnsi="Times New Roman" w:cs="Times New Roman"/>
          <w:bCs/>
          <w:i/>
          <w:iCs/>
          <w:sz w:val="20"/>
        </w:rPr>
      </w:pPr>
      <w:r>
        <w:rPr>
          <w:rFonts w:ascii="Times New Roman" w:hAnsi="Times New Roman" w:cs="Times New Roman"/>
          <w:i/>
          <w:iCs/>
          <w:sz w:val="20"/>
        </w:rPr>
        <w:t>Proposal 1 (</w:t>
      </w:r>
      <w:r>
        <w:rPr>
          <w:rFonts w:hint="eastAsia" w:ascii="Times New Roman" w:hAnsi="Times New Roman" w:cs="Times New Roman"/>
          <w:i/>
          <w:iCs/>
          <w:sz w:val="20"/>
        </w:rPr>
        <w:t xml:space="preserve">CATT, </w:t>
      </w:r>
      <w:r>
        <w:rPr>
          <w:rFonts w:ascii="Times New Roman" w:hAnsi="Times New Roman" w:cs="Times New Roman"/>
          <w:i/>
          <w:iCs/>
          <w:sz w:val="20"/>
        </w:rPr>
        <w:t>Xiaomi</w:t>
      </w:r>
      <w:r>
        <w:rPr>
          <w:rFonts w:hint="eastAsia" w:ascii="Times New Roman" w:hAnsi="Times New Roman" w:cs="Times New Roman"/>
          <w:i/>
          <w:iCs/>
          <w:sz w:val="20"/>
        </w:rPr>
        <w:t xml:space="preserve">, Samsung, QC, CMCC, ZTE, </w:t>
      </w:r>
      <w:r>
        <w:rPr>
          <w:rFonts w:ascii="Times New Roman" w:hAnsi="Times New Roman" w:cs="Times New Roman"/>
          <w:i/>
          <w:iCs/>
          <w:sz w:val="20"/>
        </w:rPr>
        <w:t xml:space="preserve">Ericsson, HW): </w:t>
      </w:r>
    </w:p>
    <w:p w14:paraId="011AEFDB">
      <w:pPr>
        <w:numPr>
          <w:ilvl w:val="1"/>
          <w:numId w:val="6"/>
        </w:numPr>
        <w:spacing w:after="120"/>
        <w:ind w:left="1655" w:hanging="357"/>
        <w:contextualSpacing w:val="0"/>
        <w:rPr>
          <w:rFonts w:ascii="Times New Roman" w:hAnsi="Times New Roman" w:cs="Times New Roman" w:eastAsiaTheme="minorEastAsia"/>
          <w:i/>
          <w:iCs/>
          <w:sz w:val="20"/>
        </w:rPr>
      </w:pPr>
      <w:r>
        <w:rPr>
          <w:rFonts w:hint="eastAsia" w:ascii="Times New Roman" w:hAnsi="Times New Roman" w:cs="Times New Roman" w:eastAsiaTheme="minorEastAsia"/>
          <w:i/>
          <w:iCs/>
          <w:sz w:val="20"/>
        </w:rPr>
        <w:t>The legacy requirements and applicable conditions can be as baseline for defining requirements of RedCap UE in NTN scenario.</w:t>
      </w:r>
    </w:p>
    <w:p w14:paraId="03E45F46">
      <w:pPr>
        <w:numPr>
          <w:ilvl w:val="1"/>
          <w:numId w:val="6"/>
        </w:numPr>
        <w:spacing w:after="120"/>
        <w:ind w:left="1655" w:hanging="357"/>
        <w:contextualSpacing w:val="0"/>
        <w:rPr>
          <w:rFonts w:ascii="Times New Roman" w:hAnsi="Times New Roman" w:cs="Times New Roman" w:eastAsiaTheme="minorEastAsia"/>
          <w:i/>
          <w:iCs/>
          <w:sz w:val="20"/>
        </w:rPr>
      </w:pPr>
      <w:r>
        <w:rPr>
          <w:rFonts w:ascii="Times New Roman" w:hAnsi="Times New Roman" w:cs="Times New Roman" w:eastAsiaTheme="minorEastAsia"/>
          <w:i/>
          <w:iCs/>
          <w:sz w:val="20"/>
        </w:rPr>
        <w:t xml:space="preserve">RAN4 to check whether existing HD-FDD related requirements </w:t>
      </w:r>
      <w:r>
        <w:rPr>
          <w:rFonts w:hint="eastAsia" w:ascii="Times New Roman" w:hAnsi="Times New Roman" w:cs="Times New Roman" w:eastAsiaTheme="minorEastAsia"/>
          <w:i/>
          <w:iCs/>
          <w:sz w:val="20"/>
        </w:rPr>
        <w:t>and applicable conditions</w:t>
      </w:r>
      <w:r>
        <w:rPr>
          <w:rFonts w:ascii="Times New Roman" w:hAnsi="Times New Roman" w:cs="Times New Roman" w:eastAsiaTheme="minorEastAsia"/>
          <w:i/>
          <w:iCs/>
          <w:sz w:val="20"/>
        </w:rPr>
        <w:t xml:space="preserve"> can be reused or not after RAN1 reaching further conclusions.</w:t>
      </w:r>
    </w:p>
    <w:p w14:paraId="7BB5F622">
      <w:pPr>
        <w:numPr>
          <w:ilvl w:val="1"/>
          <w:numId w:val="6"/>
        </w:numPr>
        <w:spacing w:after="120"/>
        <w:ind w:left="1655" w:hanging="357"/>
        <w:contextualSpacing w:val="0"/>
        <w:rPr>
          <w:rFonts w:ascii="Times New Roman" w:hAnsi="Times New Roman" w:cs="Times New Roman" w:eastAsiaTheme="minorEastAsia"/>
          <w:i/>
          <w:iCs/>
          <w:sz w:val="20"/>
        </w:rPr>
      </w:pPr>
      <w:r>
        <w:rPr>
          <w:rFonts w:ascii="Times New Roman" w:hAnsi="Times New Roman" w:cs="Times New Roman" w:eastAsiaTheme="minorEastAsia"/>
          <w:i/>
          <w:iCs/>
          <w:sz w:val="20"/>
        </w:rPr>
        <w:t>Proposal 1</w:t>
      </w:r>
      <w:r>
        <w:rPr>
          <w:rFonts w:hint="eastAsia" w:ascii="Times New Roman" w:hAnsi="Times New Roman" w:cs="Times New Roman" w:eastAsiaTheme="minorEastAsia"/>
          <w:i/>
          <w:iCs/>
          <w:sz w:val="20"/>
        </w:rPr>
        <w:t>a</w:t>
      </w:r>
      <w:r>
        <w:rPr>
          <w:rFonts w:ascii="Times New Roman" w:hAnsi="Times New Roman" w:cs="Times New Roman" w:eastAsiaTheme="minorEastAsia"/>
          <w:i/>
          <w:iCs/>
          <w:sz w:val="20"/>
        </w:rPr>
        <w:t xml:space="preserve"> (CATT</w:t>
      </w:r>
      <w:r>
        <w:rPr>
          <w:rFonts w:hint="eastAsia" w:ascii="Times New Roman" w:hAnsi="Times New Roman" w:cs="Times New Roman" w:eastAsiaTheme="minorEastAsia"/>
          <w:i/>
          <w:iCs/>
          <w:sz w:val="20"/>
        </w:rPr>
        <w:t>, HW, MTK</w:t>
      </w:r>
      <w:r>
        <w:rPr>
          <w:rFonts w:ascii="Times New Roman" w:hAnsi="Times New Roman" w:cs="Times New Roman" w:eastAsiaTheme="minorEastAsia"/>
          <w:i/>
          <w:iCs/>
          <w:sz w:val="20"/>
        </w:rPr>
        <w:t xml:space="preserve">): </w:t>
      </w:r>
    </w:p>
    <w:p w14:paraId="7EEA1EB1">
      <w:pPr>
        <w:numPr>
          <w:ilvl w:val="2"/>
          <w:numId w:val="6"/>
        </w:numPr>
        <w:spacing w:after="120"/>
        <w:ind w:left="1956" w:leftChars="0" w:hanging="360" w:firstLineChars="0"/>
        <w:rPr>
          <w:rFonts w:hint="eastAsia"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To following the TN, at least the following requirements will be affected by HD-FDD for (e)RedCap UE with FR1-NTN:</w:t>
      </w:r>
    </w:p>
    <w:p w14:paraId="69E40C9C">
      <w:pPr>
        <w:numPr>
          <w:ilvl w:val="3"/>
          <w:numId w:val="6"/>
        </w:numPr>
        <w:spacing w:after="120"/>
        <w:ind w:left="2676" w:leftChars="0" w:hanging="360" w:firstLineChars="0"/>
        <w:rPr>
          <w:rFonts w:ascii="Times New Roman" w:hAnsi="Times New Roman" w:cs="Times New Roman" w:eastAsiaTheme="minorEastAsia"/>
          <w:i/>
          <w:iCs/>
          <w:sz w:val="20"/>
          <w:szCs w:val="18"/>
          <w:lang w:val="en-GB"/>
        </w:rPr>
      </w:pPr>
      <w:r>
        <w:rPr>
          <w:rFonts w:hint="eastAsia" w:ascii="Times New Roman" w:hAnsi="Times New Roman" w:cs="Times New Roman" w:eastAsiaTheme="minorEastAsia"/>
          <w:i/>
          <w:iCs/>
          <w:sz w:val="20"/>
          <w:szCs w:val="18"/>
          <w:lang w:val="en-GB"/>
        </w:rPr>
        <w:t>P</w:t>
      </w:r>
      <w:r>
        <w:rPr>
          <w:rFonts w:ascii="Times New Roman" w:hAnsi="Times New Roman" w:cs="Times New Roman" w:eastAsiaTheme="minorEastAsia"/>
          <w:i/>
          <w:iCs/>
          <w:sz w:val="20"/>
          <w:szCs w:val="18"/>
          <w:lang w:val="en-GB"/>
        </w:rPr>
        <w:t>aging reception requirements</w:t>
      </w:r>
      <w:r>
        <w:rPr>
          <w:rFonts w:hint="eastAsia" w:ascii="Times New Roman" w:hAnsi="Times New Roman" w:cs="Times New Roman" w:eastAsiaTheme="minorEastAsia"/>
          <w:i/>
          <w:iCs/>
          <w:sz w:val="20"/>
          <w:szCs w:val="18"/>
          <w:lang w:val="en-GB"/>
        </w:rPr>
        <w:t xml:space="preserve"> </w:t>
      </w:r>
      <w:r>
        <w:rPr>
          <w:rFonts w:ascii="Times New Roman" w:hAnsi="Times New Roman" w:cs="Times New Roman" w:eastAsiaTheme="minorEastAsia"/>
          <w:i/>
          <w:iCs/>
          <w:sz w:val="20"/>
          <w:szCs w:val="18"/>
          <w:lang w:val="en-GB"/>
        </w:rPr>
        <w:t>in RRC_IDLE/ RRC_INACTIVE state</w:t>
      </w:r>
    </w:p>
    <w:p w14:paraId="2A7BF5A4">
      <w:pPr>
        <w:numPr>
          <w:ilvl w:val="3"/>
          <w:numId w:val="6"/>
        </w:numPr>
        <w:spacing w:after="120"/>
        <w:ind w:left="2676" w:leftChars="0" w:hanging="360" w:firstLineChars="0"/>
        <w:rPr>
          <w:rFonts w:ascii="Times New Roman" w:hAnsi="Times New Roman" w:cs="Times New Roman" w:eastAsiaTheme="minorEastAsia"/>
          <w:i/>
          <w:iCs/>
          <w:sz w:val="20"/>
          <w:szCs w:val="18"/>
          <w:lang w:val="en-GB"/>
        </w:rPr>
      </w:pPr>
      <w:r>
        <w:rPr>
          <w:rFonts w:ascii="Times New Roman" w:hAnsi="Times New Roman" w:cs="Times New Roman" w:eastAsiaTheme="minorEastAsia"/>
          <w:i/>
          <w:iCs/>
          <w:sz w:val="20"/>
          <w:szCs w:val="18"/>
          <w:lang w:val="en-GB"/>
        </w:rPr>
        <w:t>Handover</w:t>
      </w:r>
      <w:r>
        <w:rPr>
          <w:rFonts w:hint="eastAsia" w:ascii="Times New Roman" w:hAnsi="Times New Roman" w:cs="Times New Roman" w:eastAsiaTheme="minorEastAsia"/>
          <w:i/>
          <w:iCs/>
          <w:sz w:val="20"/>
          <w:szCs w:val="18"/>
          <w:lang w:val="en-GB"/>
        </w:rPr>
        <w:t xml:space="preserve"> i</w:t>
      </w:r>
      <w:r>
        <w:rPr>
          <w:rFonts w:ascii="Times New Roman" w:hAnsi="Times New Roman" w:cs="Times New Roman" w:eastAsiaTheme="minorEastAsia"/>
          <w:i/>
          <w:iCs/>
          <w:sz w:val="20"/>
          <w:szCs w:val="18"/>
          <w:lang w:val="en-GB"/>
        </w:rPr>
        <w:t>nterruption time</w:t>
      </w:r>
    </w:p>
    <w:p w14:paraId="1D4DFF16">
      <w:pPr>
        <w:numPr>
          <w:ilvl w:val="3"/>
          <w:numId w:val="6"/>
        </w:numPr>
        <w:spacing w:after="120"/>
        <w:ind w:left="2676" w:leftChars="0" w:hanging="360" w:firstLineChars="0"/>
        <w:rPr>
          <w:rFonts w:ascii="Times New Roman" w:hAnsi="Times New Roman" w:cs="Times New Roman" w:eastAsiaTheme="minorEastAsia"/>
          <w:i/>
          <w:iCs/>
          <w:sz w:val="20"/>
          <w:szCs w:val="18"/>
          <w:lang w:val="en-GB"/>
        </w:rPr>
      </w:pPr>
      <w:r>
        <w:rPr>
          <w:rFonts w:ascii="Times New Roman" w:hAnsi="Times New Roman" w:cs="Times New Roman" w:eastAsiaTheme="minorEastAsia"/>
          <w:i/>
          <w:iCs/>
          <w:sz w:val="20"/>
          <w:szCs w:val="18"/>
          <w:lang w:val="en-GB"/>
        </w:rPr>
        <w:t>Random access</w:t>
      </w:r>
    </w:p>
    <w:p w14:paraId="57B039D2">
      <w:pPr>
        <w:numPr>
          <w:ilvl w:val="3"/>
          <w:numId w:val="6"/>
        </w:numPr>
        <w:spacing w:after="120"/>
        <w:ind w:left="2676" w:leftChars="0" w:hanging="360" w:firstLineChars="0"/>
        <w:rPr>
          <w:rFonts w:ascii="Times New Roman" w:hAnsi="Times New Roman" w:cs="Times New Roman" w:eastAsiaTheme="minorEastAsia"/>
          <w:i/>
          <w:iCs/>
          <w:sz w:val="20"/>
          <w:szCs w:val="18"/>
          <w:lang w:val="en-GB"/>
        </w:rPr>
      </w:pPr>
      <w:r>
        <w:rPr>
          <w:rFonts w:ascii="Times New Roman" w:hAnsi="Times New Roman" w:cs="Times New Roman" w:eastAsiaTheme="minorEastAsia"/>
          <w:i/>
          <w:iCs/>
          <w:sz w:val="20"/>
          <w:szCs w:val="18"/>
          <w:lang w:val="en-GB"/>
        </w:rPr>
        <w:t>SA: RRC Connection Release with Redirection</w:t>
      </w:r>
    </w:p>
    <w:p w14:paraId="7AB1C59C">
      <w:pPr>
        <w:numPr>
          <w:ilvl w:val="3"/>
          <w:numId w:val="6"/>
        </w:numPr>
        <w:spacing w:after="120"/>
        <w:ind w:left="2676" w:leftChars="0" w:hanging="360" w:firstLineChars="0"/>
        <w:rPr>
          <w:rFonts w:ascii="Times New Roman" w:hAnsi="Times New Roman" w:cs="Times New Roman" w:eastAsiaTheme="minorEastAsia"/>
          <w:i/>
          <w:iCs/>
          <w:sz w:val="20"/>
          <w:szCs w:val="18"/>
          <w:lang w:val="en-GB"/>
        </w:rPr>
      </w:pPr>
      <w:r>
        <w:rPr>
          <w:rFonts w:ascii="Times New Roman" w:hAnsi="Times New Roman" w:cs="Times New Roman" w:eastAsiaTheme="minorEastAsia"/>
          <w:i/>
          <w:iCs/>
          <w:sz w:val="20"/>
          <w:szCs w:val="18"/>
          <w:lang w:val="en-GB"/>
        </w:rPr>
        <w:t>Minimum requirement for L1 indication</w:t>
      </w:r>
      <w:r>
        <w:rPr>
          <w:rFonts w:hint="eastAsia" w:ascii="Times New Roman" w:hAnsi="Times New Roman" w:cs="Times New Roman" w:eastAsiaTheme="minorEastAsia"/>
          <w:i/>
          <w:iCs/>
          <w:sz w:val="20"/>
          <w:szCs w:val="18"/>
          <w:lang w:val="en-GB"/>
        </w:rPr>
        <w:t xml:space="preserve"> for RLM and LR</w:t>
      </w:r>
    </w:p>
    <w:p w14:paraId="323A46B5">
      <w:pPr>
        <w:numPr>
          <w:ilvl w:val="3"/>
          <w:numId w:val="6"/>
        </w:numPr>
        <w:spacing w:after="120"/>
        <w:ind w:left="2676" w:leftChars="0" w:hanging="360" w:firstLineChars="0"/>
        <w:rPr>
          <w:rFonts w:ascii="Times New Roman" w:hAnsi="Times New Roman" w:cs="Times New Roman" w:eastAsiaTheme="minorEastAsia"/>
          <w:i/>
          <w:iCs/>
          <w:sz w:val="20"/>
          <w:szCs w:val="18"/>
          <w:lang w:val="en-GB"/>
        </w:rPr>
      </w:pPr>
      <w:r>
        <w:rPr>
          <w:rFonts w:ascii="Times New Roman" w:hAnsi="Times New Roman" w:cs="Times New Roman" w:eastAsiaTheme="minorEastAsia"/>
          <w:i/>
          <w:iCs/>
          <w:sz w:val="20"/>
          <w:szCs w:val="18"/>
          <w:lang w:val="en-GB"/>
        </w:rPr>
        <w:t>MAC-CE</w:t>
      </w:r>
      <w:r>
        <w:rPr>
          <w:rFonts w:hint="eastAsia" w:ascii="Times New Roman" w:hAnsi="Times New Roman" w:cs="Times New Roman" w:eastAsiaTheme="minorEastAsia"/>
          <w:i/>
          <w:iCs/>
          <w:sz w:val="20"/>
          <w:szCs w:val="18"/>
          <w:lang w:val="en-GB"/>
        </w:rPr>
        <w:t>/</w:t>
      </w:r>
      <w:r>
        <w:rPr>
          <w:rFonts w:ascii="Times New Roman" w:hAnsi="Times New Roman" w:cs="Times New Roman" w:eastAsiaTheme="minorEastAsia"/>
          <w:i/>
          <w:iCs/>
          <w:sz w:val="20"/>
          <w:szCs w:val="18"/>
          <w:lang w:val="en-GB"/>
        </w:rPr>
        <w:t>DCI</w:t>
      </w:r>
      <w:r>
        <w:rPr>
          <w:rFonts w:hint="eastAsia" w:ascii="Times New Roman" w:hAnsi="Times New Roman" w:cs="Times New Roman" w:eastAsiaTheme="minorEastAsia"/>
          <w:i/>
          <w:iCs/>
          <w:sz w:val="20"/>
          <w:szCs w:val="18"/>
          <w:lang w:val="en-GB"/>
        </w:rPr>
        <w:t>/</w:t>
      </w:r>
      <w:r>
        <w:rPr>
          <w:rFonts w:ascii="Times New Roman" w:hAnsi="Times New Roman" w:cs="Times New Roman" w:eastAsiaTheme="minorEastAsia"/>
          <w:i/>
          <w:iCs/>
          <w:sz w:val="20"/>
          <w:szCs w:val="18"/>
          <w:lang w:val="en-GB"/>
        </w:rPr>
        <w:t xml:space="preserve">RRC based </w:t>
      </w:r>
      <w:r>
        <w:rPr>
          <w:rFonts w:hint="eastAsia" w:ascii="Times New Roman" w:hAnsi="Times New Roman" w:cs="Times New Roman" w:eastAsiaTheme="minorEastAsia"/>
          <w:i/>
          <w:iCs/>
          <w:sz w:val="20"/>
          <w:szCs w:val="18"/>
          <w:lang w:val="en-GB"/>
        </w:rPr>
        <w:t>u</w:t>
      </w:r>
      <w:r>
        <w:rPr>
          <w:rFonts w:ascii="Times New Roman" w:hAnsi="Times New Roman" w:cs="Times New Roman" w:eastAsiaTheme="minorEastAsia"/>
          <w:i/>
          <w:iCs/>
          <w:sz w:val="20"/>
          <w:szCs w:val="18"/>
          <w:lang w:val="en-GB"/>
        </w:rPr>
        <w:t>plink spatial relation switch delay</w:t>
      </w:r>
      <w:r>
        <w:rPr>
          <w:rFonts w:hint="eastAsia" w:ascii="Times New Roman" w:hAnsi="Times New Roman" w:cs="Times New Roman" w:eastAsiaTheme="minorEastAsia"/>
          <w:i/>
          <w:iCs/>
          <w:sz w:val="20"/>
          <w:szCs w:val="18"/>
          <w:lang w:val="en-GB"/>
        </w:rPr>
        <w:t xml:space="preserve"> </w:t>
      </w:r>
    </w:p>
    <w:p w14:paraId="16EEF895">
      <w:pPr>
        <w:numPr>
          <w:ilvl w:val="3"/>
          <w:numId w:val="6"/>
        </w:numPr>
        <w:spacing w:after="120"/>
        <w:ind w:left="2676" w:leftChars="0" w:hanging="360" w:firstLineChars="0"/>
        <w:rPr>
          <w:rFonts w:ascii="Times New Roman" w:hAnsi="Times New Roman" w:cs="Times New Roman" w:eastAsiaTheme="minorEastAsia"/>
          <w:i/>
          <w:iCs/>
          <w:sz w:val="20"/>
          <w:szCs w:val="18"/>
          <w:lang w:val="en-GB"/>
        </w:rPr>
      </w:pPr>
      <w:r>
        <w:rPr>
          <w:rFonts w:ascii="Times New Roman" w:hAnsi="Times New Roman" w:cs="Times New Roman" w:eastAsiaTheme="minorEastAsia"/>
          <w:i/>
          <w:iCs/>
          <w:sz w:val="20"/>
          <w:szCs w:val="18"/>
          <w:lang w:val="en-GB"/>
        </w:rPr>
        <w:t>Scheduling availability</w:t>
      </w:r>
      <w:r>
        <w:rPr>
          <w:rFonts w:hint="eastAsia" w:ascii="Times New Roman" w:hAnsi="Times New Roman" w:cs="Times New Roman" w:eastAsiaTheme="minorEastAsia"/>
          <w:i/>
          <w:iCs/>
          <w:sz w:val="20"/>
          <w:szCs w:val="18"/>
          <w:lang w:val="en-GB"/>
        </w:rPr>
        <w:t xml:space="preserve"> </w:t>
      </w:r>
      <w:r>
        <w:rPr>
          <w:rFonts w:ascii="Times New Roman" w:hAnsi="Times New Roman" w:cs="Times New Roman" w:eastAsiaTheme="minorEastAsia"/>
          <w:i/>
          <w:iCs/>
          <w:sz w:val="20"/>
          <w:szCs w:val="18"/>
          <w:lang w:val="en-GB"/>
        </w:rPr>
        <w:t xml:space="preserve">of UE performing </w:t>
      </w:r>
      <w:r>
        <w:rPr>
          <w:rFonts w:hint="eastAsia" w:ascii="Times New Roman" w:hAnsi="Times New Roman" w:cs="Times New Roman" w:eastAsiaTheme="minorEastAsia"/>
          <w:i/>
          <w:iCs/>
          <w:sz w:val="20"/>
          <w:szCs w:val="18"/>
          <w:lang w:val="en-GB"/>
        </w:rPr>
        <w:t xml:space="preserve">intra/inter </w:t>
      </w:r>
      <w:r>
        <w:rPr>
          <w:rFonts w:ascii="Times New Roman" w:hAnsi="Times New Roman" w:cs="Times New Roman" w:eastAsiaTheme="minorEastAsia"/>
          <w:i/>
          <w:iCs/>
          <w:sz w:val="20"/>
          <w:szCs w:val="18"/>
          <w:lang w:val="en-GB"/>
        </w:rPr>
        <w:t xml:space="preserve">measurements </w:t>
      </w:r>
    </w:p>
    <w:p w14:paraId="2985CDE8">
      <w:pPr>
        <w:numPr>
          <w:ilvl w:val="3"/>
          <w:numId w:val="6"/>
        </w:numPr>
        <w:spacing w:after="120"/>
        <w:ind w:left="2676" w:leftChars="0" w:hanging="360" w:firstLineChars="0"/>
        <w:rPr>
          <w:rFonts w:ascii="Times New Roman" w:hAnsi="Times New Roman" w:cs="Times New Roman" w:eastAsiaTheme="minorEastAsia"/>
          <w:i/>
          <w:iCs/>
          <w:sz w:val="20"/>
          <w:szCs w:val="18"/>
          <w:lang w:val="en-GB"/>
        </w:rPr>
      </w:pPr>
      <w:r>
        <w:rPr>
          <w:rFonts w:ascii="Times New Roman" w:hAnsi="Times New Roman" w:cs="Times New Roman" w:eastAsiaTheme="minorEastAsia"/>
          <w:i/>
          <w:iCs/>
          <w:sz w:val="20"/>
          <w:szCs w:val="18"/>
          <w:lang w:val="en-GB"/>
        </w:rPr>
        <w:t>Scheduling availability of UE during L1-RSRP measurement</w:t>
      </w:r>
    </w:p>
    <w:p w14:paraId="3A43B9FE">
      <w:pPr>
        <w:numPr>
          <w:ilvl w:val="1"/>
          <w:numId w:val="6"/>
        </w:numPr>
        <w:spacing w:after="120"/>
        <w:ind w:left="1655" w:hanging="357"/>
        <w:contextualSpacing w:val="0"/>
        <w:rPr>
          <w:rFonts w:ascii="Times New Roman" w:hAnsi="Times New Roman" w:cs="Times New Roman" w:eastAsiaTheme="minorEastAsia"/>
          <w:i/>
          <w:iCs/>
          <w:sz w:val="20"/>
        </w:rPr>
      </w:pPr>
      <w:r>
        <w:rPr>
          <w:rFonts w:ascii="Times New Roman" w:hAnsi="Times New Roman" w:cs="Times New Roman" w:eastAsiaTheme="minorEastAsia"/>
          <w:i/>
          <w:iCs/>
          <w:sz w:val="20"/>
        </w:rPr>
        <w:t>Proposal 1</w:t>
      </w:r>
      <w:r>
        <w:rPr>
          <w:rFonts w:hint="eastAsia" w:ascii="Times New Roman" w:hAnsi="Times New Roman" w:cs="Times New Roman" w:eastAsiaTheme="minorEastAsia"/>
          <w:i/>
          <w:iCs/>
          <w:sz w:val="20"/>
        </w:rPr>
        <w:t>b</w:t>
      </w:r>
      <w:r>
        <w:rPr>
          <w:rFonts w:ascii="Times New Roman" w:hAnsi="Times New Roman" w:cs="Times New Roman" w:eastAsiaTheme="minorEastAsia"/>
          <w:i/>
          <w:iCs/>
          <w:sz w:val="20"/>
        </w:rPr>
        <w:t xml:space="preserve"> (</w:t>
      </w:r>
      <w:r>
        <w:rPr>
          <w:rFonts w:hint="eastAsia" w:ascii="Times New Roman" w:hAnsi="Times New Roman" w:cs="Times New Roman" w:eastAsiaTheme="minorEastAsia"/>
          <w:i/>
          <w:iCs/>
          <w:sz w:val="20"/>
        </w:rPr>
        <w:t>QC</w:t>
      </w:r>
      <w:r>
        <w:rPr>
          <w:rFonts w:ascii="Times New Roman" w:hAnsi="Times New Roman" w:cs="Times New Roman" w:eastAsiaTheme="minorEastAsia"/>
          <w:i/>
          <w:iCs/>
          <w:sz w:val="20"/>
        </w:rPr>
        <w:t>): RAN4 to wait for further RAN1 process on the enhancements for HD RedCap and eRedCap UEs which may potentially impact the following aspects:</w:t>
      </w:r>
    </w:p>
    <w:p w14:paraId="08836374">
      <w:pPr>
        <w:numPr>
          <w:ilvl w:val="2"/>
          <w:numId w:val="6"/>
        </w:numPr>
        <w:spacing w:after="120"/>
        <w:ind w:left="1956" w:leftChars="0" w:hanging="360" w:firstLineChars="0"/>
        <w:rPr>
          <w:rFonts w:ascii="Times New Roman" w:hAnsi="Times New Roman" w:cs="Times New Roman" w:eastAsiaTheme="minorEastAsia"/>
          <w:i/>
          <w:iCs/>
          <w:sz w:val="20"/>
          <w:highlight w:val="none"/>
        </w:rPr>
      </w:pPr>
      <w:r>
        <w:rPr>
          <w:rFonts w:ascii="Times New Roman" w:hAnsi="Times New Roman" w:cs="Times New Roman" w:eastAsiaTheme="minorEastAsia"/>
          <w:i/>
          <w:iCs/>
          <w:sz w:val="20"/>
          <w:highlight w:val="none"/>
        </w:rPr>
        <w:t>Additional latencies, Scheduling/Measurement restrictions, etc. due to DL/UL collisions.</w:t>
      </w:r>
    </w:p>
    <w:p w14:paraId="5672B418">
      <w:pPr>
        <w:numPr>
          <w:ilvl w:val="1"/>
          <w:numId w:val="6"/>
        </w:numPr>
        <w:spacing w:after="120"/>
        <w:ind w:left="1655" w:hanging="357"/>
        <w:contextualSpacing w:val="0"/>
        <w:rPr>
          <w:rFonts w:ascii="Times New Roman" w:hAnsi="Times New Roman" w:cs="Times New Roman" w:eastAsiaTheme="minorEastAsia"/>
          <w:i/>
          <w:iCs/>
          <w:sz w:val="20"/>
        </w:rPr>
      </w:pPr>
      <w:r>
        <w:rPr>
          <w:rFonts w:ascii="Times New Roman" w:hAnsi="Times New Roman" w:cs="Times New Roman" w:eastAsiaTheme="minorEastAsia"/>
          <w:i/>
          <w:iCs/>
          <w:sz w:val="20"/>
        </w:rPr>
        <w:t>Proposal 1</w:t>
      </w:r>
      <w:r>
        <w:rPr>
          <w:rFonts w:hint="eastAsia" w:ascii="Times New Roman" w:hAnsi="Times New Roman" w:cs="Times New Roman" w:eastAsiaTheme="minorEastAsia"/>
          <w:i/>
          <w:iCs/>
          <w:sz w:val="20"/>
        </w:rPr>
        <w:t>c</w:t>
      </w:r>
      <w:r>
        <w:rPr>
          <w:rFonts w:ascii="Times New Roman" w:hAnsi="Times New Roman" w:cs="Times New Roman" w:eastAsiaTheme="minorEastAsia"/>
          <w:i/>
          <w:iCs/>
          <w:sz w:val="20"/>
        </w:rPr>
        <w:t xml:space="preserve"> (</w:t>
      </w:r>
      <w:r>
        <w:rPr>
          <w:rFonts w:hint="eastAsia" w:ascii="Times New Roman" w:hAnsi="Times New Roman" w:cs="Times New Roman" w:eastAsiaTheme="minorEastAsia"/>
          <w:i/>
          <w:iCs/>
          <w:sz w:val="20"/>
        </w:rPr>
        <w:t>CMCC</w:t>
      </w:r>
      <w:r>
        <w:rPr>
          <w:rFonts w:ascii="Times New Roman" w:hAnsi="Times New Roman" w:cs="Times New Roman" w:eastAsiaTheme="minorEastAsia"/>
          <w:i/>
          <w:iCs/>
          <w:sz w:val="20"/>
        </w:rPr>
        <w:t>):</w:t>
      </w:r>
    </w:p>
    <w:p w14:paraId="5A3E58CF">
      <w:pPr>
        <w:numPr>
          <w:ilvl w:val="2"/>
          <w:numId w:val="6"/>
        </w:numPr>
        <w:spacing w:after="120"/>
        <w:ind w:left="1956" w:leftChars="0" w:hanging="360" w:firstLineChars="0"/>
        <w:rPr>
          <w:rFonts w:ascii="Times New Roman" w:hAnsi="Times New Roman" w:cs="Times New Roman" w:eastAsiaTheme="minorEastAsia"/>
          <w:i/>
          <w:iCs/>
          <w:sz w:val="20"/>
          <w:highlight w:val="none"/>
        </w:rPr>
      </w:pPr>
      <w:r>
        <w:rPr>
          <w:rFonts w:ascii="Times New Roman" w:hAnsi="Times New Roman" w:cs="Times New Roman" w:eastAsiaTheme="minorEastAsia"/>
          <w:i/>
          <w:iCs/>
          <w:sz w:val="20"/>
          <w:highlight w:val="none"/>
        </w:rPr>
        <w:t>Same principle for HD-FDD (e)RedCap UE in TN network will be followed as baseline.</w:t>
      </w:r>
    </w:p>
    <w:p w14:paraId="663FE552">
      <w:pPr>
        <w:numPr>
          <w:ilvl w:val="2"/>
          <w:numId w:val="6"/>
        </w:numPr>
        <w:spacing w:after="120"/>
        <w:ind w:left="1956" w:leftChars="0" w:hanging="360" w:firstLineChars="0"/>
        <w:rPr>
          <w:rFonts w:ascii="Times New Roman" w:hAnsi="Times New Roman" w:cs="Times New Roman" w:eastAsiaTheme="minorEastAsia"/>
          <w:i/>
          <w:iCs/>
          <w:sz w:val="20"/>
          <w:highlight w:val="none"/>
        </w:rPr>
      </w:pPr>
      <w:r>
        <w:rPr>
          <w:rFonts w:ascii="Times New Roman" w:hAnsi="Times New Roman" w:cs="Times New Roman" w:eastAsiaTheme="minorEastAsia"/>
          <w:i/>
          <w:iCs/>
          <w:sz w:val="20"/>
          <w:highlight w:val="none"/>
        </w:rPr>
        <w:t>Wait for further RAN1 progress which may impact Scheduling availability requirement.</w:t>
      </w:r>
    </w:p>
    <w:p w14:paraId="0170D3E4">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kern w:val="2"/>
          <w:sz w:val="20"/>
          <w:szCs w:val="20"/>
          <w:lang w:val="en-US" w:eastAsia="zh-CN"/>
        </w:rPr>
      </w:pPr>
      <w:r>
        <w:rPr>
          <w:rFonts w:hint="eastAsia"/>
          <w:kern w:val="2"/>
          <w:sz w:val="20"/>
          <w:szCs w:val="20"/>
          <w:lang w:val="en-US" w:eastAsia="zh-CN"/>
        </w:rPr>
        <w:t>Firstly, we think the same principle for HD-FDD (e)RedCap UE in TN network will be followed as baseline.</w:t>
      </w:r>
    </w:p>
    <w:p w14:paraId="6330FE3E">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20: Same principle for HD-FDD (e)RedCap UE in TN network will be followed as baseline.</w:t>
      </w:r>
    </w:p>
    <w:p w14:paraId="593E6A6D">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For NTN specific aspects, the DL and UL collision error due to mismatch between actual TA used by UE and assumed TA at the gNB may need to further considered. RAN1 has achieved several solutions listed as below:</w:t>
      </w:r>
    </w:p>
    <w:tbl>
      <w:tblPr>
        <w:tblStyle w:val="21"/>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7"/>
      </w:tblGrid>
      <w:tr w14:paraId="5F4DA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7" w:type="dxa"/>
          </w:tcPr>
          <w:p w14:paraId="6E9B4CDB">
            <w:pPr>
              <w:rPr>
                <w:rFonts w:eastAsia="宋体"/>
                <w:bCs/>
                <w:i/>
                <w:iCs/>
                <w:sz w:val="20"/>
                <w:szCs w:val="15"/>
                <w:lang w:val="en-US" w:eastAsia="zh-CN"/>
              </w:rPr>
            </w:pPr>
            <w:r>
              <w:rPr>
                <w:rFonts w:eastAsia="宋体"/>
                <w:bCs/>
                <w:i/>
                <w:iCs/>
                <w:sz w:val="20"/>
                <w:szCs w:val="15"/>
                <w:highlight w:val="green"/>
                <w:lang w:val="en-US" w:eastAsia="zh-CN"/>
              </w:rPr>
              <w:t>Agreement</w:t>
            </w:r>
          </w:p>
          <w:p w14:paraId="7D4DE0A2">
            <w:pPr>
              <w:rPr>
                <w:rFonts w:eastAsia="宋体"/>
                <w:bCs/>
                <w:i/>
                <w:iCs/>
                <w:sz w:val="20"/>
                <w:szCs w:val="15"/>
                <w:lang w:val="en-US" w:eastAsia="zh-CN"/>
              </w:rPr>
            </w:pPr>
            <w:r>
              <w:rPr>
                <w:rFonts w:hint="eastAsia" w:eastAsia="宋体"/>
                <w:bCs/>
                <w:i/>
                <w:iCs/>
                <w:sz w:val="20"/>
                <w:szCs w:val="15"/>
                <w:lang w:val="en-US" w:eastAsia="zh-CN"/>
              </w:rPr>
              <w:t>For Rel-19 HD-FDD (e)Redcap UE</w:t>
            </w:r>
            <w:r>
              <w:rPr>
                <w:rFonts w:eastAsia="宋体"/>
                <w:bCs/>
                <w:i/>
                <w:iCs/>
                <w:sz w:val="20"/>
                <w:szCs w:val="15"/>
                <w:lang w:val="en-US" w:eastAsia="zh-CN"/>
              </w:rPr>
              <w:t xml:space="preserve"> in RRC connected mode, </w:t>
            </w:r>
            <w:r>
              <w:rPr>
                <w:rFonts w:hint="eastAsia" w:eastAsia="宋体"/>
                <w:bCs/>
                <w:i/>
                <w:iCs/>
                <w:sz w:val="20"/>
                <w:szCs w:val="15"/>
                <w:lang w:val="en-US" w:eastAsia="zh-CN"/>
              </w:rPr>
              <w:t xml:space="preserve">for </w:t>
            </w:r>
            <w:r>
              <w:rPr>
                <w:rFonts w:eastAsia="宋体"/>
                <w:bCs/>
                <w:i/>
                <w:iCs/>
                <w:sz w:val="20"/>
                <w:szCs w:val="15"/>
                <w:lang w:val="en-US" w:eastAsia="zh-CN"/>
              </w:rPr>
              <w:t xml:space="preserve">collision </w:t>
            </w:r>
            <w:r>
              <w:rPr>
                <w:rFonts w:hint="eastAsia" w:eastAsia="宋体"/>
                <w:bCs/>
                <w:i/>
                <w:iCs/>
                <w:sz w:val="20"/>
                <w:szCs w:val="15"/>
                <w:lang w:val="en-US" w:eastAsia="zh-CN"/>
              </w:rPr>
              <w:t>case 3</w:t>
            </w:r>
            <w:r>
              <w:rPr>
                <w:rFonts w:eastAsia="宋体"/>
                <w:bCs/>
                <w:i/>
                <w:iCs/>
                <w:sz w:val="20"/>
                <w:szCs w:val="15"/>
                <w:lang w:val="en-US" w:eastAsia="zh-CN"/>
              </w:rPr>
              <w:t xml:space="preserve">, </w:t>
            </w:r>
          </w:p>
          <w:p w14:paraId="608ECFF8">
            <w:pPr>
              <w:numPr>
                <w:ilvl w:val="0"/>
                <w:numId w:val="8"/>
              </w:numPr>
              <w:tabs>
                <w:tab w:val="left" w:pos="420"/>
              </w:tabs>
              <w:rPr>
                <w:rFonts w:eastAsia="宋体"/>
                <w:bCs/>
                <w:i/>
                <w:iCs/>
                <w:sz w:val="20"/>
                <w:szCs w:val="15"/>
                <w:lang w:val="en-US" w:eastAsia="zh-CN"/>
              </w:rPr>
            </w:pPr>
            <w:r>
              <w:rPr>
                <w:rFonts w:hint="eastAsia" w:eastAsia="宋体"/>
                <w:bCs/>
                <w:i/>
                <w:iCs/>
                <w:sz w:val="20"/>
                <w:szCs w:val="15"/>
                <w:lang w:val="en-US" w:eastAsia="zh-CN"/>
              </w:rPr>
              <w:t>H</w:t>
            </w:r>
            <w:r>
              <w:rPr>
                <w:rFonts w:eastAsia="宋体"/>
                <w:bCs/>
                <w:i/>
                <w:iCs/>
                <w:sz w:val="20"/>
                <w:szCs w:val="15"/>
                <w:lang w:val="en-US" w:eastAsia="zh-CN"/>
              </w:rPr>
              <w:t>andling of collision with Type-0/0A/1/2-PDCCH CSS</w:t>
            </w:r>
            <w:r>
              <w:rPr>
                <w:rFonts w:hint="eastAsia" w:eastAsia="宋体"/>
                <w:bCs/>
                <w:i/>
                <w:iCs/>
                <w:sz w:val="20"/>
                <w:szCs w:val="15"/>
                <w:lang w:val="en-US" w:eastAsia="zh-CN"/>
              </w:rPr>
              <w:t xml:space="preserve"> in RRC-Connected mode </w:t>
            </w:r>
            <w:r>
              <w:rPr>
                <w:rFonts w:eastAsia="宋体"/>
                <w:bCs/>
                <w:i/>
                <w:iCs/>
                <w:sz w:val="20"/>
                <w:szCs w:val="15"/>
                <w:lang w:val="en-US" w:eastAsia="zh-CN"/>
              </w:rPr>
              <w:t>is left to UE implementation whether to prioritize UL or prioritize DL</w:t>
            </w:r>
            <w:r>
              <w:rPr>
                <w:rFonts w:hint="eastAsia" w:eastAsia="宋体"/>
                <w:bCs/>
                <w:i/>
                <w:iCs/>
                <w:sz w:val="20"/>
                <w:szCs w:val="15"/>
                <w:lang w:val="en-US" w:eastAsia="zh-CN"/>
              </w:rPr>
              <w:t xml:space="preserve"> with the constraint in the following note</w:t>
            </w:r>
            <w:r>
              <w:rPr>
                <w:rFonts w:eastAsia="宋体"/>
                <w:bCs/>
                <w:i/>
                <w:iCs/>
                <w:sz w:val="20"/>
                <w:szCs w:val="15"/>
                <w:lang w:val="en-US" w:eastAsia="zh-CN"/>
              </w:rPr>
              <w:t>.</w:t>
            </w:r>
          </w:p>
          <w:p w14:paraId="0A08E441">
            <w:pPr>
              <w:numPr>
                <w:ilvl w:val="0"/>
                <w:numId w:val="8"/>
              </w:numPr>
              <w:tabs>
                <w:tab w:val="left" w:pos="420"/>
              </w:tabs>
              <w:rPr>
                <w:rFonts w:eastAsia="宋体"/>
                <w:bCs/>
                <w:i/>
                <w:iCs/>
                <w:sz w:val="20"/>
                <w:szCs w:val="15"/>
                <w:lang w:val="en-US" w:eastAsia="zh-CN"/>
              </w:rPr>
            </w:pPr>
            <w:r>
              <w:rPr>
                <w:rFonts w:eastAsia="宋体"/>
                <w:bCs/>
                <w:i/>
                <w:iCs/>
                <w:sz w:val="20"/>
                <w:szCs w:val="15"/>
                <w:lang w:val="en-US" w:eastAsia="zh-CN"/>
              </w:rPr>
              <w:t xml:space="preserve">For other use cases, </w:t>
            </w:r>
            <w:r>
              <w:rPr>
                <w:rFonts w:hint="eastAsia" w:eastAsia="宋体"/>
                <w:bCs/>
                <w:i/>
                <w:iCs/>
                <w:sz w:val="20"/>
                <w:szCs w:val="15"/>
                <w:lang w:val="en-US" w:eastAsia="zh-CN"/>
              </w:rPr>
              <w:t xml:space="preserve">default priority rule for </w:t>
            </w:r>
            <w:r>
              <w:rPr>
                <w:rFonts w:eastAsia="宋体"/>
                <w:bCs/>
                <w:i/>
                <w:iCs/>
                <w:sz w:val="20"/>
                <w:szCs w:val="15"/>
                <w:lang w:val="en-US" w:eastAsia="zh-CN"/>
              </w:rPr>
              <w:t xml:space="preserve">collision </w:t>
            </w:r>
            <w:r>
              <w:rPr>
                <w:rFonts w:hint="eastAsia" w:eastAsia="宋体"/>
                <w:bCs/>
                <w:i/>
                <w:iCs/>
                <w:sz w:val="20"/>
                <w:szCs w:val="15"/>
                <w:lang w:val="en-US" w:eastAsia="zh-CN"/>
              </w:rPr>
              <w:t>case 3 in RRC-Connected mode is that DL is prioritized.</w:t>
            </w:r>
          </w:p>
          <w:p w14:paraId="02596BF5">
            <w:pPr>
              <w:numPr>
                <w:ilvl w:val="1"/>
                <w:numId w:val="8"/>
              </w:numPr>
              <w:ind w:left="2140"/>
              <w:rPr>
                <w:rFonts w:eastAsia="宋体"/>
                <w:bCs/>
                <w:i/>
                <w:iCs/>
                <w:sz w:val="20"/>
                <w:szCs w:val="15"/>
                <w:lang w:val="en-US" w:eastAsia="zh-CN"/>
              </w:rPr>
            </w:pPr>
            <w:r>
              <w:rPr>
                <w:rFonts w:hint="eastAsia" w:eastAsia="宋体"/>
                <w:bCs/>
                <w:i/>
                <w:iCs/>
                <w:sz w:val="20"/>
                <w:szCs w:val="15"/>
                <w:lang w:val="en-US" w:eastAsia="zh-CN"/>
              </w:rPr>
              <w:t>Network is allowed to indicate UL overriding DL</w:t>
            </w:r>
            <w:r>
              <w:rPr>
                <w:rFonts w:eastAsia="宋体"/>
                <w:bCs/>
                <w:i/>
                <w:iCs/>
                <w:sz w:val="20"/>
                <w:szCs w:val="15"/>
                <w:lang w:val="en-US" w:eastAsia="zh-CN"/>
              </w:rPr>
              <w:t xml:space="preserve"> for all the other use cases above</w:t>
            </w:r>
          </w:p>
          <w:p w14:paraId="20B892A6">
            <w:pPr>
              <w:numPr>
                <w:ilvl w:val="2"/>
                <w:numId w:val="8"/>
              </w:numPr>
              <w:ind w:left="2860"/>
              <w:rPr>
                <w:rFonts w:eastAsia="宋体"/>
                <w:bCs/>
                <w:i/>
                <w:iCs/>
                <w:sz w:val="20"/>
                <w:szCs w:val="15"/>
                <w:lang w:val="en-US" w:eastAsia="zh-CN"/>
              </w:rPr>
            </w:pPr>
            <w:r>
              <w:rPr>
                <w:rFonts w:eastAsia="宋体"/>
                <w:bCs/>
                <w:i/>
                <w:iCs/>
                <w:sz w:val="20"/>
                <w:szCs w:val="15"/>
                <w:lang w:val="en-US" w:eastAsia="zh-CN"/>
              </w:rPr>
              <w:t>This is signaled by RRC configuration</w:t>
            </w:r>
          </w:p>
          <w:p w14:paraId="56157C5C">
            <w:pPr>
              <w:jc w:val="both"/>
              <w:rPr>
                <w:rFonts w:eastAsia="宋体"/>
                <w:i/>
                <w:iCs/>
                <w:sz w:val="20"/>
                <w:szCs w:val="15"/>
                <w:lang w:val="en-US" w:eastAsia="zh-CN"/>
              </w:rPr>
            </w:pPr>
          </w:p>
          <w:p w14:paraId="625F8581">
            <w:pPr>
              <w:jc w:val="both"/>
              <w:rPr>
                <w:rFonts w:eastAsia="宋体"/>
                <w:i/>
                <w:iCs/>
                <w:sz w:val="20"/>
                <w:szCs w:val="15"/>
                <w:lang w:val="en-US" w:eastAsia="zh-CN"/>
              </w:rPr>
            </w:pPr>
            <w:r>
              <w:rPr>
                <w:rFonts w:hint="eastAsia" w:eastAsia="宋体"/>
                <w:i/>
                <w:iCs/>
                <w:sz w:val="20"/>
                <w:szCs w:val="15"/>
                <w:lang w:val="en-US" w:eastAsia="zh-CN"/>
              </w:rPr>
              <w:t>Note: UE shall comply to the following existing procedure in 38.331:</w:t>
            </w:r>
          </w:p>
          <w:p w14:paraId="30E28C48">
            <w:pPr>
              <w:ind w:left="240" w:leftChars="100"/>
              <w:jc w:val="both"/>
              <w:rPr>
                <w:i/>
                <w:iCs/>
                <w:sz w:val="20"/>
                <w:szCs w:val="15"/>
              </w:rPr>
            </w:pPr>
            <w:r>
              <w:rPr>
                <w:rFonts w:eastAsia="宋体"/>
                <w:i/>
                <w:iCs/>
                <w:sz w:val="20"/>
                <w:szCs w:val="15"/>
              </w:rPr>
              <w:t xml:space="preserve">UEs in </w:t>
            </w:r>
            <w:r>
              <w:rPr>
                <w:i/>
                <w:iCs/>
                <w:sz w:val="20"/>
                <w:szCs w:val="15"/>
              </w:rPr>
              <w:t xml:space="preserve">RRC_CONNECTED </w:t>
            </w:r>
            <w:r>
              <w:rPr>
                <w:rFonts w:eastAsia="宋体"/>
                <w:i/>
                <w:iCs/>
                <w:sz w:val="20"/>
                <w:szCs w:val="15"/>
              </w:rPr>
              <w:t>shall</w:t>
            </w:r>
            <w:r>
              <w:rPr>
                <w:i/>
                <w:iCs/>
                <w:sz w:val="20"/>
                <w:szCs w:val="15"/>
              </w:rPr>
              <w:t xml:space="preserve"> monitor for SI change indication in any paging occasion at least once per modification period if the UE is provided with common search space, including pagingSearchSpace, searchSpaceSIB1 and searchSpaceOtherSystemInformation, on the active BWP to monitor paging, as specified in TS 38.213 [13], clause 13.</w:t>
            </w:r>
          </w:p>
          <w:p w14:paraId="6C976355">
            <w:pPr>
              <w:rPr>
                <w:rFonts w:eastAsia="宋体"/>
                <w:b/>
                <w:bCs/>
                <w:i/>
                <w:iCs/>
                <w:sz w:val="20"/>
                <w:szCs w:val="20"/>
                <w:lang w:val="en-US" w:eastAsia="zh-CN"/>
              </w:rPr>
            </w:pPr>
          </w:p>
          <w:p w14:paraId="5C85A41F">
            <w:pPr>
              <w:rPr>
                <w:rFonts w:eastAsia="宋体"/>
                <w:b/>
                <w:bCs/>
                <w:i/>
                <w:iCs/>
                <w:sz w:val="20"/>
                <w:szCs w:val="20"/>
                <w:lang w:val="en-US" w:eastAsia="zh-CN"/>
              </w:rPr>
            </w:pPr>
          </w:p>
          <w:p w14:paraId="2F5CDA63">
            <w:pPr>
              <w:rPr>
                <w:rFonts w:eastAsia="宋体"/>
                <w:i/>
                <w:iCs/>
                <w:sz w:val="20"/>
                <w:szCs w:val="20"/>
                <w:lang w:val="en-US" w:eastAsia="zh-CN"/>
              </w:rPr>
            </w:pPr>
            <w:r>
              <w:rPr>
                <w:rFonts w:eastAsia="宋体"/>
                <w:i/>
                <w:iCs/>
                <w:sz w:val="20"/>
                <w:szCs w:val="20"/>
                <w:highlight w:val="green"/>
                <w:lang w:val="en-US" w:eastAsia="zh-CN"/>
              </w:rPr>
              <w:t>Agreement</w:t>
            </w:r>
          </w:p>
          <w:p w14:paraId="277AD859">
            <w:pPr>
              <w:rPr>
                <w:rFonts w:eastAsia="宋体"/>
                <w:i/>
                <w:iCs/>
                <w:sz w:val="20"/>
                <w:szCs w:val="20"/>
                <w:lang w:val="en-US" w:eastAsia="zh-CN"/>
              </w:rPr>
            </w:pPr>
            <w:r>
              <w:rPr>
                <w:rFonts w:hint="eastAsia" w:eastAsia="宋体"/>
                <w:i/>
                <w:iCs/>
                <w:sz w:val="20"/>
                <w:szCs w:val="20"/>
                <w:lang w:val="en-US" w:eastAsia="ko-KR"/>
              </w:rPr>
              <w:t xml:space="preserve">The collision case 4 (Dynamically scheduled DL reception collides with dynamic scheduled UL transmission) </w:t>
            </w:r>
            <w:r>
              <w:rPr>
                <w:rFonts w:hint="eastAsia" w:eastAsia="宋体"/>
                <w:i/>
                <w:iCs/>
                <w:sz w:val="20"/>
                <w:szCs w:val="20"/>
                <w:lang w:val="en-US" w:eastAsia="zh-CN"/>
              </w:rPr>
              <w:t>is not considered</w:t>
            </w:r>
            <w:r>
              <w:rPr>
                <w:rFonts w:hint="eastAsia" w:eastAsia="宋体"/>
                <w:i/>
                <w:iCs/>
                <w:sz w:val="20"/>
                <w:szCs w:val="20"/>
                <w:lang w:val="en-US" w:eastAsia="ko-KR"/>
              </w:rPr>
              <w:t xml:space="preserve"> as</w:t>
            </w:r>
            <w:r>
              <w:rPr>
                <w:rFonts w:hint="eastAsia" w:eastAsia="宋体"/>
                <w:i/>
                <w:iCs/>
                <w:sz w:val="20"/>
                <w:szCs w:val="20"/>
                <w:lang w:val="en-US" w:eastAsia="zh-CN"/>
              </w:rPr>
              <w:t xml:space="preserve"> an</w:t>
            </w:r>
            <w:r>
              <w:rPr>
                <w:rFonts w:hint="eastAsia" w:eastAsia="宋体"/>
                <w:i/>
                <w:iCs/>
                <w:sz w:val="20"/>
                <w:szCs w:val="20"/>
                <w:lang w:val="en-US" w:eastAsia="ko-KR"/>
              </w:rPr>
              <w:t xml:space="preserve"> error case</w:t>
            </w:r>
            <w:r>
              <w:rPr>
                <w:rFonts w:eastAsia="宋体"/>
                <w:i/>
                <w:iCs/>
                <w:sz w:val="20"/>
                <w:szCs w:val="20"/>
                <w:lang w:val="en-US" w:eastAsia="ko-KR"/>
              </w:rPr>
              <w:t xml:space="preserve"> for Rel-19 HD-FDD (e)Redcap UE in RRC connected mode</w:t>
            </w:r>
            <w:r>
              <w:rPr>
                <w:rFonts w:hint="eastAsia" w:eastAsia="宋体"/>
                <w:i/>
                <w:iCs/>
                <w:sz w:val="20"/>
                <w:szCs w:val="20"/>
                <w:lang w:val="en-US" w:eastAsia="ko-KR"/>
              </w:rPr>
              <w:t>.</w:t>
            </w:r>
            <w:r>
              <w:rPr>
                <w:rFonts w:hint="eastAsia" w:eastAsia="宋体"/>
                <w:i/>
                <w:iCs/>
                <w:sz w:val="20"/>
                <w:szCs w:val="20"/>
                <w:lang w:val="en-US" w:eastAsia="zh-CN"/>
              </w:rPr>
              <w:t xml:space="preserve"> </w:t>
            </w:r>
          </w:p>
          <w:p w14:paraId="7AF530F2">
            <w:pPr>
              <w:numPr>
                <w:ilvl w:val="0"/>
                <w:numId w:val="8"/>
              </w:numPr>
              <w:tabs>
                <w:tab w:val="left" w:pos="420"/>
              </w:tabs>
              <w:rPr>
                <w:rFonts w:hint="eastAsia" w:eastAsia="宋体"/>
                <w:sz w:val="20"/>
                <w:szCs w:val="15"/>
                <w:lang w:val="en-US" w:eastAsia="zh-CN"/>
              </w:rPr>
            </w:pPr>
            <w:r>
              <w:rPr>
                <w:rFonts w:eastAsia="宋体"/>
                <w:bCs/>
                <w:i/>
                <w:iCs/>
                <w:sz w:val="20"/>
                <w:szCs w:val="15"/>
                <w:lang w:val="en-US" w:eastAsia="zh-CN"/>
              </w:rPr>
              <w:t xml:space="preserve">FFS whether to prioritize UL or prioritize DL  </w:t>
            </w:r>
          </w:p>
        </w:tc>
      </w:tr>
    </w:tbl>
    <w:p w14:paraId="5541A0D9">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After checking on the current scheduling availability, although some priority rules are defined in RAN1, the existing scheduling availability requirement can be reused, that UE is not expected to transmit PUCCH/PUSCH/SRS on SSB symbols/SMTCs to be measured.</w:t>
      </w:r>
    </w:p>
    <w:p w14:paraId="2434E007">
      <w:pPr>
        <w:pStyle w:val="51"/>
        <w:rPr>
          <w:rFonts w:hint="default"/>
          <w:b/>
          <w:bCs/>
          <w:i/>
          <w:iCs/>
          <w:sz w:val="20"/>
          <w:szCs w:val="20"/>
          <w:lang w:val="en-US" w:eastAsia="zh-CN"/>
        </w:rPr>
      </w:pPr>
      <w:r>
        <w:rPr>
          <w:lang w:val="en-US"/>
        </w:rPr>
        <w:t xml:space="preserve"> </w:t>
      </w:r>
    </w:p>
    <w:p w14:paraId="4D5BD688">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3-2-1: The impact on NR Handover due to HD-FDD</w:t>
      </w:r>
    </w:p>
    <w:p w14:paraId="0F12C24D">
      <w:pPr>
        <w:keepNext w:val="0"/>
        <w:keepLines w:val="0"/>
        <w:pageBreakBefore w:val="0"/>
        <w:widowControl/>
        <w:kinsoku/>
        <w:wordWrap/>
        <w:overflowPunct/>
        <w:topLinePunct w:val="0"/>
        <w:autoSpaceDE/>
        <w:autoSpaceDN/>
        <w:bidi w:val="0"/>
        <w:adjustRightInd/>
        <w:snapToGrid/>
        <w:spacing w:after="60"/>
        <w:textAlignment w:val="auto"/>
        <w:rPr>
          <w:rFonts w:eastAsia="宋体"/>
          <w:b/>
          <w:i/>
          <w:iCs/>
          <w:sz w:val="20"/>
          <w:szCs w:val="20"/>
          <w:lang w:eastAsia="en-US"/>
        </w:rPr>
      </w:pPr>
      <w:r>
        <w:rPr>
          <w:rFonts w:eastAsia="宋体"/>
          <w:b/>
          <w:i/>
          <w:iCs/>
          <w:sz w:val="20"/>
          <w:szCs w:val="20"/>
          <w:lang w:eastAsia="en-US"/>
        </w:rPr>
        <w:t>&lt;Way Forward&gt;</w:t>
      </w:r>
      <w:r>
        <w:rPr>
          <w:rFonts w:hint="eastAsia" w:eastAsia="宋体"/>
          <w:b/>
          <w:i/>
          <w:iCs/>
          <w:sz w:val="20"/>
          <w:szCs w:val="20"/>
          <w:lang w:eastAsia="zh-CN"/>
        </w:rPr>
        <w:t>:</w:t>
      </w:r>
    </w:p>
    <w:p w14:paraId="39FBD3F8">
      <w:pPr>
        <w:numPr>
          <w:ilvl w:val="0"/>
          <w:numId w:val="6"/>
        </w:numPr>
        <w:spacing w:after="120"/>
        <w:ind w:left="720"/>
        <w:contextualSpacing w:val="0"/>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Proposal 1 (</w:t>
      </w:r>
      <w:r>
        <w:rPr>
          <w:rFonts w:hint="eastAsia" w:ascii="Times New Roman" w:hAnsi="Times New Roman" w:eastAsia="宋体" w:cs="Times New Roman"/>
          <w:i/>
          <w:iCs/>
          <w:sz w:val="20"/>
          <w:szCs w:val="20"/>
          <w:lang w:val="en-US" w:eastAsia="en-US" w:bidi="ar-SA"/>
        </w:rPr>
        <w:t>CMCC</w:t>
      </w:r>
      <w:r>
        <w:rPr>
          <w:rFonts w:ascii="Times New Roman" w:hAnsi="Times New Roman" w:eastAsia="宋体" w:cs="Times New Roman"/>
          <w:i/>
          <w:iCs/>
          <w:sz w:val="20"/>
          <w:szCs w:val="20"/>
          <w:lang w:val="en-US" w:eastAsia="en-US" w:bidi="ar-SA"/>
        </w:rPr>
        <w:t xml:space="preserve">): </w:t>
      </w:r>
    </w:p>
    <w:p w14:paraId="273C77E3">
      <w:pPr>
        <w:numPr>
          <w:ilvl w:val="1"/>
          <w:numId w:val="6"/>
        </w:numPr>
        <w:spacing w:after="120"/>
        <w:ind w:left="1655" w:hanging="357"/>
        <w:contextualSpacing w:val="0"/>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For RACH-based HO, RACH-less HO, Time/location-based CHO without L3 measurement and Satellite switching with re-synchronization, following applicability rules to adapt HD-FDD case should be added:</w:t>
      </w:r>
    </w:p>
    <w:p w14:paraId="0902D397">
      <w:pPr>
        <w:numPr>
          <w:ilvl w:val="2"/>
          <w:numId w:val="6"/>
        </w:numPr>
        <w:spacing w:after="0"/>
        <w:ind w:left="1956" w:hanging="360"/>
        <w:contextualSpacing/>
        <w:rPr>
          <w:rFonts w:ascii="Times New Roman" w:hAnsi="Times New Roman" w:cs="Times New Roman" w:eastAsiaTheme="minorEastAsia"/>
          <w:i/>
          <w:iCs/>
          <w:sz w:val="20"/>
          <w:highlight w:val="none"/>
        </w:rPr>
      </w:pPr>
      <w:r>
        <w:rPr>
          <w:rFonts w:ascii="Times New Roman" w:hAnsi="Times New Roman" w:cs="Times New Roman" w:eastAsiaTheme="minorEastAsia"/>
          <w:i/>
          <w:iCs/>
          <w:sz w:val="20"/>
          <w:highlight w:val="none"/>
        </w:rPr>
        <w:t xml:space="preserve">For RedCap NTN UE with HD-FDD, the requirements are met provided that </w:t>
      </w:r>
    </w:p>
    <w:p w14:paraId="146F6110">
      <w:pPr>
        <w:numPr>
          <w:ilvl w:val="3"/>
          <w:numId w:val="6"/>
        </w:numPr>
        <w:spacing w:after="0"/>
        <w:ind w:left="2676" w:leftChars="0" w:hanging="360" w:firstLineChars="0"/>
        <w:contextualSpacing/>
        <w:rPr>
          <w:rFonts w:ascii="Times New Roman" w:hAnsi="Times New Roman" w:cs="Times New Roman"/>
          <w:bCs/>
          <w:i/>
          <w:iCs/>
          <w:sz w:val="20"/>
          <w:szCs w:val="20"/>
          <w:highlight w:val="none"/>
          <w:lang w:eastAsia="en-US"/>
        </w:rPr>
      </w:pPr>
      <w:r>
        <w:rPr>
          <w:rFonts w:ascii="Times New Roman" w:hAnsi="Times New Roman" w:cs="Times New Roman"/>
          <w:bCs/>
          <w:i/>
          <w:iCs/>
          <w:sz w:val="20"/>
          <w:szCs w:val="20"/>
          <w:highlight w:val="none"/>
          <w:lang w:eastAsia="en-US"/>
        </w:rPr>
        <w:t>SSB is available at the UE once every SMTC period during T</w:t>
      </w:r>
      <w:r>
        <w:rPr>
          <w:rFonts w:ascii="Times New Roman" w:hAnsi="Times New Roman" w:cs="Times New Roman"/>
          <w:bCs/>
          <w:i/>
          <w:iCs/>
          <w:sz w:val="20"/>
          <w:szCs w:val="20"/>
          <w:highlight w:val="none"/>
          <w:vertAlign w:val="subscript"/>
          <w:lang w:eastAsia="en-US"/>
        </w:rPr>
        <w:t>search</w:t>
      </w:r>
    </w:p>
    <w:p w14:paraId="3E13A566">
      <w:pPr>
        <w:numPr>
          <w:ilvl w:val="3"/>
          <w:numId w:val="6"/>
        </w:numPr>
        <w:spacing w:after="0"/>
        <w:ind w:left="2676" w:leftChars="0" w:hanging="360" w:firstLineChars="0"/>
        <w:contextualSpacing/>
        <w:rPr>
          <w:rFonts w:ascii="Times New Roman" w:hAnsi="Times New Roman" w:cs="Times New Roman"/>
          <w:bCs/>
          <w:i/>
          <w:iCs/>
          <w:sz w:val="20"/>
          <w:szCs w:val="20"/>
          <w:highlight w:val="none"/>
          <w:lang w:eastAsia="en-US"/>
        </w:rPr>
      </w:pPr>
      <w:r>
        <w:rPr>
          <w:rFonts w:ascii="Times New Roman" w:hAnsi="Times New Roman" w:cs="Times New Roman"/>
          <w:bCs/>
          <w:i/>
          <w:iCs/>
          <w:sz w:val="20"/>
          <w:szCs w:val="20"/>
          <w:highlight w:val="none"/>
          <w:lang w:eastAsia="en-US"/>
        </w:rPr>
        <w:t>One SSB is available during T</w:t>
      </w:r>
      <w:r>
        <w:rPr>
          <w:rFonts w:ascii="Times New Roman" w:hAnsi="Times New Roman" w:cs="Times New Roman"/>
          <w:bCs/>
          <w:i/>
          <w:iCs/>
          <w:sz w:val="20"/>
          <w:szCs w:val="20"/>
          <w:highlight w:val="none"/>
          <w:vertAlign w:val="subscript"/>
          <w:lang w:eastAsia="en-US"/>
        </w:rPr>
        <w:t>∆</w:t>
      </w:r>
    </w:p>
    <w:p w14:paraId="46AD3246">
      <w:pPr>
        <w:numPr>
          <w:ilvl w:val="3"/>
          <w:numId w:val="6"/>
        </w:numPr>
        <w:spacing w:after="0"/>
        <w:ind w:left="2676" w:leftChars="0" w:hanging="360" w:firstLineChars="0"/>
        <w:contextualSpacing/>
        <w:rPr>
          <w:rFonts w:ascii="Times New Roman" w:hAnsi="Times New Roman" w:cs="Times New Roman"/>
          <w:bCs/>
          <w:i/>
          <w:iCs/>
          <w:sz w:val="20"/>
          <w:szCs w:val="20"/>
          <w:highlight w:val="none"/>
          <w:lang w:eastAsia="en-US"/>
        </w:rPr>
      </w:pPr>
      <w:r>
        <w:rPr>
          <w:rFonts w:ascii="Times New Roman" w:hAnsi="Times New Roman" w:cs="Times New Roman"/>
          <w:bCs/>
          <w:i/>
          <w:iCs/>
          <w:sz w:val="20"/>
          <w:szCs w:val="20"/>
          <w:highlight w:val="none"/>
          <w:lang w:eastAsia="en-US"/>
        </w:rPr>
        <w:t>One SSB is available during T</w:t>
      </w:r>
      <w:r>
        <w:rPr>
          <w:rFonts w:ascii="Times New Roman" w:hAnsi="Times New Roman" w:cs="Times New Roman"/>
          <w:bCs/>
          <w:i/>
          <w:iCs/>
          <w:sz w:val="20"/>
          <w:szCs w:val="20"/>
          <w:highlight w:val="none"/>
          <w:vertAlign w:val="subscript"/>
          <w:lang w:eastAsia="en-US"/>
        </w:rPr>
        <w:t>IU</w:t>
      </w:r>
      <w:r>
        <w:rPr>
          <w:rFonts w:ascii="Times New Roman" w:hAnsi="Times New Roman" w:cs="Times New Roman"/>
          <w:bCs/>
          <w:i/>
          <w:iCs/>
          <w:sz w:val="20"/>
          <w:szCs w:val="20"/>
          <w:highlight w:val="none"/>
          <w:lang w:eastAsia="en-US"/>
        </w:rPr>
        <w:t>.</w:t>
      </w:r>
    </w:p>
    <w:p w14:paraId="33E6609B">
      <w:pPr>
        <w:numPr>
          <w:ilvl w:val="1"/>
          <w:numId w:val="6"/>
        </w:numPr>
        <w:spacing w:after="120"/>
        <w:ind w:left="1655" w:hanging="357"/>
        <w:contextualSpacing w:val="0"/>
        <w:rPr>
          <w:rFonts w:ascii="Times New Roman" w:hAnsi="Times New Roman" w:cs="Times New Roman" w:eastAsiaTheme="minorEastAsia"/>
          <w:i/>
          <w:iCs/>
          <w:sz w:val="20"/>
          <w:highlight w:val="none"/>
        </w:rPr>
      </w:pPr>
      <w:r>
        <w:rPr>
          <w:rFonts w:ascii="Times New Roman" w:hAnsi="Times New Roman" w:cs="Times New Roman" w:eastAsiaTheme="minorEastAsia"/>
          <w:i/>
          <w:iCs/>
          <w:sz w:val="20"/>
          <w:highlight w:val="none"/>
        </w:rPr>
        <w:t>For Time/location-based CHO with L3 measurement, following applicability rules to adapt HD-FDD case should be added:</w:t>
      </w:r>
    </w:p>
    <w:p w14:paraId="5F5AB9DA">
      <w:pPr>
        <w:numPr>
          <w:ilvl w:val="2"/>
          <w:numId w:val="6"/>
        </w:numPr>
        <w:spacing w:after="0"/>
        <w:ind w:left="1956" w:hanging="360"/>
        <w:contextualSpacing/>
        <w:rPr>
          <w:rFonts w:ascii="Times New Roman" w:hAnsi="Times New Roman" w:cs="Times New Roman"/>
          <w:bCs/>
          <w:i/>
          <w:iCs/>
          <w:sz w:val="20"/>
          <w:szCs w:val="20"/>
          <w:highlight w:val="none"/>
          <w:lang w:eastAsia="en-US"/>
        </w:rPr>
      </w:pPr>
      <w:r>
        <w:rPr>
          <w:rFonts w:ascii="Times New Roman" w:hAnsi="Times New Roman" w:cs="Times New Roman"/>
          <w:bCs/>
          <w:i/>
          <w:iCs/>
          <w:sz w:val="20"/>
          <w:szCs w:val="20"/>
          <w:highlight w:val="none"/>
          <w:lang w:eastAsia="en-US"/>
        </w:rPr>
        <w:t xml:space="preserve">For RedCap NTN UE with HD-FDD, the requirements are met provided that </w:t>
      </w:r>
    </w:p>
    <w:p w14:paraId="18A59827">
      <w:pPr>
        <w:numPr>
          <w:ilvl w:val="3"/>
          <w:numId w:val="6"/>
        </w:numPr>
        <w:spacing w:after="0"/>
        <w:ind w:left="2676" w:leftChars="0" w:hanging="360" w:firstLineChars="0"/>
        <w:contextualSpacing/>
        <w:rPr>
          <w:rFonts w:ascii="Times New Roman" w:hAnsi="Times New Roman" w:cs="Times New Roman"/>
          <w:bCs/>
          <w:i/>
          <w:iCs/>
          <w:sz w:val="20"/>
          <w:szCs w:val="20"/>
          <w:highlight w:val="none"/>
          <w:lang w:eastAsia="en-US"/>
        </w:rPr>
      </w:pPr>
      <w:r>
        <w:rPr>
          <w:rFonts w:ascii="Times New Roman" w:hAnsi="Times New Roman" w:cs="Times New Roman"/>
          <w:bCs/>
          <w:i/>
          <w:iCs/>
          <w:sz w:val="20"/>
          <w:szCs w:val="20"/>
          <w:highlight w:val="none"/>
          <w:lang w:eastAsia="en-US"/>
        </w:rPr>
        <w:t>One SSB is available during T</w:t>
      </w:r>
      <w:r>
        <w:rPr>
          <w:rFonts w:ascii="Times New Roman" w:hAnsi="Times New Roman" w:cs="Times New Roman"/>
          <w:bCs/>
          <w:i/>
          <w:iCs/>
          <w:sz w:val="20"/>
          <w:szCs w:val="20"/>
          <w:highlight w:val="none"/>
          <w:vertAlign w:val="subscript"/>
          <w:lang w:eastAsia="en-US"/>
        </w:rPr>
        <w:t>∆</w:t>
      </w:r>
    </w:p>
    <w:p w14:paraId="05DB79E9">
      <w:pPr>
        <w:numPr>
          <w:ilvl w:val="3"/>
          <w:numId w:val="6"/>
        </w:numPr>
        <w:spacing w:after="0"/>
        <w:ind w:left="2676" w:leftChars="0" w:hanging="360" w:firstLineChars="0"/>
        <w:contextualSpacing/>
        <w:rPr>
          <w:rFonts w:ascii="Times New Roman" w:hAnsi="Times New Roman" w:cs="Times New Roman" w:eastAsiaTheme="minorEastAsia"/>
          <w:i/>
          <w:iCs/>
          <w:sz w:val="20"/>
          <w:highlight w:val="none"/>
          <w:lang w:val="en-GB"/>
        </w:rPr>
      </w:pPr>
      <w:r>
        <w:rPr>
          <w:rFonts w:ascii="Times New Roman" w:hAnsi="Times New Roman" w:cs="Times New Roman"/>
          <w:bCs/>
          <w:i/>
          <w:iCs/>
          <w:sz w:val="20"/>
          <w:szCs w:val="20"/>
          <w:highlight w:val="none"/>
          <w:lang w:eastAsia="en-US"/>
        </w:rPr>
        <w:t>One SSB is available during T</w:t>
      </w:r>
      <w:r>
        <w:rPr>
          <w:rFonts w:ascii="Times New Roman" w:hAnsi="Times New Roman" w:cs="Times New Roman"/>
          <w:bCs/>
          <w:i/>
          <w:iCs/>
          <w:sz w:val="20"/>
          <w:szCs w:val="20"/>
          <w:highlight w:val="none"/>
          <w:vertAlign w:val="subscript"/>
          <w:lang w:eastAsia="en-US"/>
        </w:rPr>
        <w:t>IU</w:t>
      </w:r>
    </w:p>
    <w:p w14:paraId="45990632">
      <w:pPr>
        <w:numPr>
          <w:ilvl w:val="0"/>
          <w:numId w:val="6"/>
        </w:numPr>
        <w:spacing w:after="120"/>
        <w:ind w:left="720"/>
        <w:contextualSpacing w:val="0"/>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 xml:space="preserve">Proposal </w:t>
      </w:r>
      <w:r>
        <w:rPr>
          <w:rFonts w:hint="eastAsia" w:ascii="Times New Roman" w:hAnsi="Times New Roman" w:eastAsia="宋体" w:cs="Times New Roman"/>
          <w:i/>
          <w:iCs/>
          <w:sz w:val="20"/>
          <w:szCs w:val="20"/>
          <w:lang w:val="en-US" w:eastAsia="en-US" w:bidi="ar-SA"/>
        </w:rPr>
        <w:t>2</w:t>
      </w:r>
      <w:r>
        <w:rPr>
          <w:rFonts w:ascii="Times New Roman" w:hAnsi="Times New Roman" w:eastAsia="宋体" w:cs="Times New Roman"/>
          <w:i/>
          <w:iCs/>
          <w:sz w:val="20"/>
          <w:szCs w:val="20"/>
          <w:lang w:val="en-US" w:eastAsia="en-US" w:bidi="ar-SA"/>
        </w:rPr>
        <w:t xml:space="preserve"> (</w:t>
      </w:r>
      <w:r>
        <w:rPr>
          <w:rFonts w:hint="eastAsia" w:ascii="Times New Roman" w:hAnsi="Times New Roman" w:eastAsia="宋体" w:cs="Times New Roman"/>
          <w:i/>
          <w:iCs/>
          <w:sz w:val="20"/>
          <w:szCs w:val="20"/>
          <w:lang w:val="en-US" w:eastAsia="en-US" w:bidi="ar-SA"/>
        </w:rPr>
        <w:t>Ericsson</w:t>
      </w:r>
      <w:r>
        <w:rPr>
          <w:rFonts w:ascii="Times New Roman" w:hAnsi="Times New Roman" w:eastAsia="宋体" w:cs="Times New Roman"/>
          <w:i/>
          <w:iCs/>
          <w:sz w:val="20"/>
          <w:szCs w:val="20"/>
          <w:lang w:val="en-US" w:eastAsia="en-US" w:bidi="ar-SA"/>
        </w:rPr>
        <w:t xml:space="preserve">): </w:t>
      </w:r>
    </w:p>
    <w:p w14:paraId="5096888C">
      <w:pPr>
        <w:numPr>
          <w:ilvl w:val="1"/>
          <w:numId w:val="6"/>
        </w:numPr>
        <w:spacing w:after="120"/>
        <w:ind w:left="1655" w:hanging="357"/>
        <w:contextualSpacing w:val="0"/>
        <w:rPr>
          <w:rFonts w:ascii="Times New Roman" w:hAnsi="Times New Roman" w:cs="Times New Roman" w:eastAsiaTheme="minorEastAsia"/>
          <w:i/>
          <w:iCs/>
          <w:sz w:val="20"/>
          <w:highlight w:val="none"/>
        </w:rPr>
      </w:pPr>
      <w:r>
        <w:rPr>
          <w:rFonts w:ascii="Times New Roman" w:hAnsi="Times New Roman" w:cs="Times New Roman" w:eastAsiaTheme="minorEastAsia"/>
          <w:i/>
          <w:iCs/>
          <w:sz w:val="20"/>
          <w:highlight w:val="none"/>
        </w:rPr>
        <w:t xml:space="preserve">RAN4 to reuse NR SAN FR1 – NR SAN FR1 Handover </w:t>
      </w:r>
      <w:r>
        <w:rPr>
          <w:rFonts w:hint="eastAsia" w:ascii="Times New Roman" w:hAnsi="Times New Roman" w:cs="Times New Roman" w:eastAsiaTheme="minorEastAsia"/>
          <w:i/>
          <w:iCs/>
          <w:sz w:val="20"/>
          <w:highlight w:val="none"/>
        </w:rPr>
        <w:t xml:space="preserve">and </w:t>
      </w:r>
      <w:r>
        <w:rPr>
          <w:rFonts w:ascii="Times New Roman" w:hAnsi="Times New Roman" w:cs="Times New Roman" w:eastAsiaTheme="minorEastAsia"/>
          <w:i/>
          <w:iCs/>
          <w:sz w:val="20"/>
          <w:highlight w:val="none"/>
        </w:rPr>
        <w:t>NR Satellite switching with re-synchronization requirements for Red-cap NTN and additionally add the following applicability rule for HD-FDD cas</w:t>
      </w:r>
      <w:r>
        <w:rPr>
          <w:rFonts w:hint="eastAsia" w:ascii="Times New Roman" w:hAnsi="Times New Roman" w:cs="Times New Roman" w:eastAsiaTheme="minorEastAsia"/>
          <w:i/>
          <w:iCs/>
          <w:sz w:val="20"/>
          <w:highlight w:val="none"/>
        </w:rPr>
        <w:t>e</w:t>
      </w:r>
      <w:r>
        <w:rPr>
          <w:rFonts w:ascii="Times New Roman" w:hAnsi="Times New Roman" w:cs="Times New Roman" w:eastAsiaTheme="minorEastAsia"/>
          <w:i/>
          <w:iCs/>
          <w:sz w:val="20"/>
          <w:highlight w:val="none"/>
        </w:rPr>
        <w:t>,</w:t>
      </w:r>
    </w:p>
    <w:p w14:paraId="5FE5A4AC">
      <w:pPr>
        <w:numPr>
          <w:ilvl w:val="2"/>
          <w:numId w:val="6"/>
        </w:numPr>
        <w:spacing w:after="0"/>
        <w:ind w:left="1956" w:hanging="360"/>
        <w:contextualSpacing/>
        <w:rPr>
          <w:rFonts w:ascii="Times New Roman" w:hAnsi="Times New Roman" w:cs="Times New Roman" w:eastAsiaTheme="minorEastAsia"/>
          <w:i/>
          <w:iCs/>
          <w:sz w:val="20"/>
          <w:highlight w:val="none"/>
        </w:rPr>
      </w:pPr>
      <w:r>
        <w:rPr>
          <w:rFonts w:ascii="Times New Roman" w:hAnsi="Times New Roman" w:cs="Times New Roman" w:eastAsiaTheme="minorEastAsia"/>
          <w:i/>
          <w:iCs/>
          <w:sz w:val="20"/>
          <w:highlight w:val="none"/>
        </w:rPr>
        <w:t xml:space="preserve">For RedCap NTN UE with HD-FDD, the handover requirements </w:t>
      </w:r>
      <w:r>
        <w:rPr>
          <w:rFonts w:hint="eastAsia" w:ascii="Times New Roman" w:hAnsi="Times New Roman" w:cs="Times New Roman" w:eastAsiaTheme="minorEastAsia"/>
          <w:i/>
          <w:iCs/>
          <w:sz w:val="20"/>
          <w:highlight w:val="none"/>
        </w:rPr>
        <w:t xml:space="preserve">and </w:t>
      </w:r>
      <w:r>
        <w:rPr>
          <w:rFonts w:ascii="Times New Roman" w:hAnsi="Times New Roman" w:cs="Times New Roman" w:eastAsiaTheme="minorEastAsia"/>
          <w:i/>
          <w:iCs/>
          <w:sz w:val="20"/>
          <w:highlight w:val="none"/>
        </w:rPr>
        <w:t xml:space="preserve">Satellite switching with re-synchronization requirements are met provided that </w:t>
      </w:r>
    </w:p>
    <w:p w14:paraId="37045EC3">
      <w:pPr>
        <w:numPr>
          <w:ilvl w:val="3"/>
          <w:numId w:val="6"/>
        </w:numPr>
        <w:spacing w:after="0"/>
        <w:ind w:left="2676" w:leftChars="0" w:hanging="360" w:firstLineChars="0"/>
        <w:contextualSpacing/>
        <w:rPr>
          <w:rFonts w:ascii="Times New Roman" w:hAnsi="Times New Roman" w:cs="Times New Roman" w:eastAsiaTheme="minorEastAsia"/>
          <w:i/>
          <w:iCs/>
          <w:sz w:val="20"/>
          <w:szCs w:val="20"/>
          <w:highlight w:val="none"/>
        </w:rPr>
      </w:pPr>
      <w:r>
        <w:rPr>
          <w:rFonts w:ascii="Times New Roman" w:hAnsi="Times New Roman" w:cs="Times New Roman" w:eastAsiaTheme="minorEastAsia"/>
          <w:i/>
          <w:iCs/>
          <w:sz w:val="20"/>
          <w:szCs w:val="20"/>
          <w:highlight w:val="none"/>
        </w:rPr>
        <w:t>SSB is available at the UE once every SMTC period during T</w:t>
      </w:r>
      <w:r>
        <w:rPr>
          <w:rFonts w:ascii="Times New Roman" w:hAnsi="Times New Roman" w:cs="Times New Roman" w:eastAsiaTheme="minorEastAsia"/>
          <w:i/>
          <w:iCs/>
          <w:sz w:val="20"/>
          <w:szCs w:val="20"/>
          <w:highlight w:val="none"/>
          <w:vertAlign w:val="subscript"/>
        </w:rPr>
        <w:t>search</w:t>
      </w:r>
    </w:p>
    <w:p w14:paraId="421DC4AF">
      <w:pPr>
        <w:numPr>
          <w:ilvl w:val="3"/>
          <w:numId w:val="6"/>
        </w:numPr>
        <w:spacing w:after="0"/>
        <w:ind w:left="2676" w:leftChars="0" w:hanging="360" w:firstLineChars="0"/>
        <w:contextualSpacing/>
        <w:rPr>
          <w:rFonts w:ascii="Times New Roman" w:hAnsi="Times New Roman" w:cs="Times New Roman" w:eastAsiaTheme="minorEastAsia"/>
          <w:i/>
          <w:iCs/>
          <w:sz w:val="20"/>
          <w:szCs w:val="20"/>
          <w:highlight w:val="none"/>
        </w:rPr>
      </w:pPr>
      <w:r>
        <w:rPr>
          <w:rFonts w:ascii="Times New Roman" w:hAnsi="Times New Roman" w:cs="Times New Roman" w:eastAsiaTheme="minorEastAsia"/>
          <w:i/>
          <w:iCs/>
          <w:sz w:val="20"/>
          <w:szCs w:val="20"/>
          <w:highlight w:val="none"/>
        </w:rPr>
        <w:t>One SSB is available during T</w:t>
      </w:r>
      <w:r>
        <w:rPr>
          <w:rFonts w:ascii="Times New Roman" w:hAnsi="Times New Roman" w:cs="Times New Roman" w:eastAsiaTheme="minorEastAsia"/>
          <w:i/>
          <w:iCs/>
          <w:sz w:val="20"/>
          <w:szCs w:val="20"/>
          <w:highlight w:val="none"/>
          <w:vertAlign w:val="subscript"/>
        </w:rPr>
        <w:t>∆</w:t>
      </w:r>
    </w:p>
    <w:p w14:paraId="1801D660">
      <w:pPr>
        <w:numPr>
          <w:ilvl w:val="3"/>
          <w:numId w:val="6"/>
        </w:numPr>
        <w:spacing w:after="0"/>
        <w:ind w:left="2676" w:leftChars="0" w:hanging="360" w:firstLineChars="0"/>
        <w:contextualSpacing/>
        <w:rPr>
          <w:rFonts w:ascii="Times New Roman" w:hAnsi="Times New Roman" w:cs="Times New Roman"/>
          <w:bCs/>
          <w:i/>
          <w:iCs/>
          <w:sz w:val="20"/>
          <w:szCs w:val="20"/>
          <w:highlight w:val="none"/>
        </w:rPr>
      </w:pPr>
      <w:r>
        <w:rPr>
          <w:rFonts w:ascii="Times New Roman" w:hAnsi="Times New Roman" w:cs="Times New Roman" w:eastAsiaTheme="minorEastAsia"/>
          <w:i/>
          <w:iCs/>
          <w:sz w:val="20"/>
          <w:szCs w:val="20"/>
          <w:highlight w:val="none"/>
        </w:rPr>
        <w:t>One SSB is available during T</w:t>
      </w:r>
      <w:r>
        <w:rPr>
          <w:rFonts w:ascii="Times New Roman" w:hAnsi="Times New Roman" w:cs="Times New Roman" w:eastAsiaTheme="minorEastAsia"/>
          <w:i/>
          <w:iCs/>
          <w:sz w:val="20"/>
          <w:szCs w:val="20"/>
          <w:highlight w:val="none"/>
          <w:vertAlign w:val="subscript"/>
        </w:rPr>
        <w:t>IU</w:t>
      </w:r>
      <w:r>
        <w:rPr>
          <w:rFonts w:ascii="Times New Roman" w:hAnsi="Times New Roman" w:cs="Times New Roman" w:eastAsiaTheme="minorEastAsia"/>
          <w:i/>
          <w:iCs/>
          <w:sz w:val="20"/>
          <w:szCs w:val="20"/>
          <w:highlight w:val="none"/>
        </w:rPr>
        <w:t>.</w:t>
      </w:r>
    </w:p>
    <w:p w14:paraId="3A9629AB">
      <w:pPr>
        <w:numPr>
          <w:ilvl w:val="0"/>
          <w:numId w:val="6"/>
        </w:numPr>
        <w:spacing w:after="120"/>
        <w:ind w:left="720"/>
        <w:contextualSpacing w:val="0"/>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 xml:space="preserve">Proposal </w:t>
      </w:r>
      <w:r>
        <w:rPr>
          <w:rFonts w:hint="eastAsia" w:ascii="Times New Roman" w:hAnsi="Times New Roman" w:eastAsia="宋体" w:cs="Times New Roman"/>
          <w:i/>
          <w:iCs/>
          <w:sz w:val="20"/>
          <w:szCs w:val="20"/>
          <w:lang w:val="en-US" w:eastAsia="en-US" w:bidi="ar-SA"/>
        </w:rPr>
        <w:t>3</w:t>
      </w:r>
      <w:r>
        <w:rPr>
          <w:rFonts w:ascii="Times New Roman" w:hAnsi="Times New Roman" w:eastAsia="宋体" w:cs="Times New Roman"/>
          <w:i/>
          <w:iCs/>
          <w:sz w:val="20"/>
          <w:szCs w:val="20"/>
          <w:lang w:val="en-US" w:eastAsia="en-US" w:bidi="ar-SA"/>
        </w:rPr>
        <w:t xml:space="preserve"> (</w:t>
      </w:r>
      <w:r>
        <w:rPr>
          <w:rFonts w:hint="eastAsia" w:ascii="Times New Roman" w:hAnsi="Times New Roman" w:eastAsia="宋体" w:cs="Times New Roman"/>
          <w:i/>
          <w:iCs/>
          <w:sz w:val="20"/>
          <w:szCs w:val="20"/>
          <w:lang w:val="en-US" w:eastAsia="en-US" w:bidi="ar-SA"/>
        </w:rPr>
        <w:t>HW</w:t>
      </w:r>
      <w:r>
        <w:rPr>
          <w:rFonts w:ascii="Times New Roman" w:hAnsi="Times New Roman" w:eastAsia="宋体" w:cs="Times New Roman"/>
          <w:i/>
          <w:iCs/>
          <w:sz w:val="20"/>
          <w:szCs w:val="20"/>
          <w:lang w:val="en-US" w:eastAsia="en-US" w:bidi="ar-SA"/>
        </w:rPr>
        <w:t xml:space="preserve">): </w:t>
      </w:r>
    </w:p>
    <w:p w14:paraId="2E1DFB72">
      <w:pPr>
        <w:numPr>
          <w:ilvl w:val="1"/>
          <w:numId w:val="6"/>
        </w:numPr>
        <w:spacing w:after="120"/>
        <w:ind w:left="1655" w:hanging="357"/>
        <w:contextualSpacing w:val="0"/>
        <w:rPr>
          <w:rFonts w:ascii="Times New Roman" w:hAnsi="Times New Roman" w:cs="Times New Roman" w:eastAsiaTheme="minorEastAsia"/>
          <w:i/>
          <w:iCs/>
          <w:sz w:val="20"/>
          <w:highlight w:val="none"/>
        </w:rPr>
      </w:pPr>
      <w:r>
        <w:rPr>
          <w:rFonts w:ascii="Times New Roman" w:hAnsi="Times New Roman" w:cs="Times New Roman" w:eastAsiaTheme="minorEastAsia"/>
          <w:i/>
          <w:iCs/>
          <w:sz w:val="20"/>
          <w:highlight w:val="none"/>
        </w:rPr>
        <w:t>For HD-FDD (e)Red</w:t>
      </w:r>
      <w:r>
        <w:rPr>
          <w:rFonts w:hint="eastAsia" w:ascii="Times New Roman" w:hAnsi="Times New Roman" w:cs="Times New Roman" w:eastAsiaTheme="minorEastAsia"/>
          <w:i/>
          <w:iCs/>
          <w:sz w:val="20"/>
          <w:highlight w:val="none"/>
        </w:rPr>
        <w:t>C</w:t>
      </w:r>
      <w:r>
        <w:rPr>
          <w:rFonts w:ascii="Times New Roman" w:hAnsi="Times New Roman" w:cs="Times New Roman" w:eastAsiaTheme="minorEastAsia"/>
          <w:i/>
          <w:iCs/>
          <w:sz w:val="20"/>
          <w:highlight w:val="none"/>
        </w:rPr>
        <w:t xml:space="preserve">ap UE with FR1-NTN bands, the CHO and satellite switching with re-sync requirements are met provided that </w:t>
      </w:r>
    </w:p>
    <w:p w14:paraId="4DC68089">
      <w:pPr>
        <w:numPr>
          <w:ilvl w:val="2"/>
          <w:numId w:val="6"/>
        </w:numPr>
        <w:spacing w:after="0"/>
        <w:ind w:left="1956" w:hanging="360"/>
        <w:contextualSpacing/>
        <w:rPr>
          <w:rFonts w:ascii="Times New Roman" w:hAnsi="Times New Roman" w:cs="Times New Roman" w:eastAsiaTheme="minorEastAsia"/>
          <w:i/>
          <w:iCs/>
          <w:sz w:val="20"/>
          <w:szCs w:val="20"/>
          <w:highlight w:val="none"/>
        </w:rPr>
      </w:pPr>
      <w:r>
        <w:rPr>
          <w:rFonts w:ascii="Times New Roman" w:hAnsi="Times New Roman" w:cs="Times New Roman" w:eastAsiaTheme="minorEastAsia"/>
          <w:i/>
          <w:iCs/>
          <w:sz w:val="20"/>
          <w:szCs w:val="20"/>
          <w:highlight w:val="none"/>
        </w:rPr>
        <w:t>SSB is available at the UE once every SMTC period during T</w:t>
      </w:r>
      <w:r>
        <w:rPr>
          <w:rFonts w:ascii="Times New Roman" w:hAnsi="Times New Roman" w:cs="Times New Roman" w:eastAsiaTheme="minorEastAsia"/>
          <w:i/>
          <w:iCs/>
          <w:sz w:val="20"/>
          <w:szCs w:val="20"/>
          <w:highlight w:val="none"/>
          <w:vertAlign w:val="subscript"/>
        </w:rPr>
        <w:t>search</w:t>
      </w:r>
    </w:p>
    <w:p w14:paraId="20998B3E">
      <w:pPr>
        <w:numPr>
          <w:ilvl w:val="2"/>
          <w:numId w:val="6"/>
        </w:numPr>
        <w:spacing w:after="0"/>
        <w:ind w:left="1956" w:hanging="360"/>
        <w:contextualSpacing/>
        <w:rPr>
          <w:rFonts w:ascii="Times New Roman" w:hAnsi="Times New Roman" w:cs="Times New Roman" w:eastAsiaTheme="minorEastAsia"/>
          <w:i/>
          <w:iCs/>
          <w:sz w:val="20"/>
          <w:szCs w:val="20"/>
          <w:highlight w:val="none"/>
        </w:rPr>
      </w:pPr>
      <w:r>
        <w:rPr>
          <w:rFonts w:ascii="Times New Roman" w:hAnsi="Times New Roman" w:cs="Times New Roman" w:eastAsiaTheme="minorEastAsia"/>
          <w:i/>
          <w:iCs/>
          <w:sz w:val="20"/>
          <w:szCs w:val="20"/>
          <w:highlight w:val="none"/>
        </w:rPr>
        <w:t>One SSB is available during T</w:t>
      </w:r>
      <w:r>
        <w:rPr>
          <w:rFonts w:ascii="Times New Roman" w:hAnsi="Times New Roman" w:cs="Times New Roman" w:eastAsiaTheme="minorEastAsia"/>
          <w:i/>
          <w:iCs/>
          <w:sz w:val="20"/>
          <w:szCs w:val="20"/>
          <w:highlight w:val="none"/>
          <w:vertAlign w:val="subscript"/>
        </w:rPr>
        <w:t>∆</w:t>
      </w:r>
    </w:p>
    <w:p w14:paraId="734B2128">
      <w:pPr>
        <w:numPr>
          <w:ilvl w:val="2"/>
          <w:numId w:val="6"/>
        </w:numPr>
        <w:spacing w:after="0"/>
        <w:ind w:left="1956" w:hanging="360"/>
        <w:contextualSpacing/>
        <w:rPr>
          <w:rFonts w:ascii="Times New Roman" w:hAnsi="Times New Roman" w:cs="Times New Roman"/>
          <w:bCs/>
          <w:i/>
          <w:iCs/>
          <w:sz w:val="20"/>
          <w:szCs w:val="20"/>
          <w:highlight w:val="none"/>
        </w:rPr>
      </w:pPr>
      <w:r>
        <w:rPr>
          <w:rFonts w:ascii="Times New Roman" w:hAnsi="Times New Roman" w:cs="Times New Roman" w:eastAsiaTheme="minorEastAsia"/>
          <w:i/>
          <w:iCs/>
          <w:sz w:val="20"/>
          <w:szCs w:val="20"/>
          <w:highlight w:val="none"/>
        </w:rPr>
        <w:t>One SSB is available during T</w:t>
      </w:r>
      <w:r>
        <w:rPr>
          <w:rFonts w:ascii="Times New Roman" w:hAnsi="Times New Roman" w:cs="Times New Roman" w:eastAsiaTheme="minorEastAsia"/>
          <w:i/>
          <w:iCs/>
          <w:sz w:val="20"/>
          <w:szCs w:val="20"/>
          <w:highlight w:val="none"/>
          <w:vertAlign w:val="subscript"/>
        </w:rPr>
        <w:t>IU</w:t>
      </w:r>
      <w:r>
        <w:rPr>
          <w:rFonts w:ascii="Times New Roman" w:hAnsi="Times New Roman" w:cs="Times New Roman" w:eastAsiaTheme="minorEastAsia"/>
          <w:i/>
          <w:iCs/>
          <w:sz w:val="20"/>
          <w:szCs w:val="20"/>
          <w:highlight w:val="none"/>
        </w:rPr>
        <w:t>.</w:t>
      </w:r>
    </w:p>
    <w:p w14:paraId="1DDB2B5E">
      <w:pPr>
        <w:numPr>
          <w:ilvl w:val="0"/>
          <w:numId w:val="6"/>
        </w:numPr>
        <w:spacing w:after="120"/>
        <w:ind w:left="720"/>
        <w:contextualSpacing w:val="0"/>
        <w:rPr>
          <w:rFonts w:ascii="Times New Roman" w:hAnsi="Times New Roman" w:eastAsia="宋体" w:cs="Times New Roman"/>
          <w:i/>
          <w:iCs/>
          <w:sz w:val="20"/>
          <w:szCs w:val="20"/>
          <w:lang w:val="en-US" w:eastAsia="en-US" w:bidi="ar-SA"/>
        </w:rPr>
      </w:pPr>
      <w:r>
        <w:rPr>
          <w:rFonts w:ascii="Times New Roman" w:hAnsi="Times New Roman" w:eastAsia="宋体" w:cs="Times New Roman"/>
          <w:i/>
          <w:iCs/>
          <w:sz w:val="20"/>
          <w:szCs w:val="20"/>
          <w:lang w:val="en-US" w:eastAsia="en-US" w:bidi="ar-SA"/>
        </w:rPr>
        <w:t xml:space="preserve">Proposal </w:t>
      </w:r>
      <w:r>
        <w:rPr>
          <w:rFonts w:hint="eastAsia" w:ascii="Times New Roman" w:hAnsi="Times New Roman" w:eastAsia="宋体" w:cs="Times New Roman"/>
          <w:i/>
          <w:iCs/>
          <w:sz w:val="20"/>
          <w:szCs w:val="20"/>
          <w:lang w:val="en-US" w:eastAsia="en-US" w:bidi="ar-SA"/>
        </w:rPr>
        <w:t>4</w:t>
      </w:r>
      <w:r>
        <w:rPr>
          <w:rFonts w:ascii="Times New Roman" w:hAnsi="Times New Roman" w:eastAsia="宋体" w:cs="Times New Roman"/>
          <w:i/>
          <w:iCs/>
          <w:sz w:val="20"/>
          <w:szCs w:val="20"/>
          <w:lang w:val="en-US" w:eastAsia="en-US" w:bidi="ar-SA"/>
        </w:rPr>
        <w:t xml:space="preserve"> (</w:t>
      </w:r>
      <w:r>
        <w:rPr>
          <w:rFonts w:hint="eastAsia" w:ascii="Times New Roman" w:hAnsi="Times New Roman" w:eastAsia="宋体" w:cs="Times New Roman"/>
          <w:i/>
          <w:iCs/>
          <w:sz w:val="20"/>
          <w:szCs w:val="20"/>
          <w:lang w:val="en-US" w:eastAsia="en-US" w:bidi="ar-SA"/>
        </w:rPr>
        <w:t>Nokia</w:t>
      </w:r>
      <w:r>
        <w:rPr>
          <w:rFonts w:ascii="Times New Roman" w:hAnsi="Times New Roman" w:eastAsia="宋体" w:cs="Times New Roman"/>
          <w:i/>
          <w:iCs/>
          <w:sz w:val="20"/>
          <w:szCs w:val="20"/>
          <w:lang w:val="en-US" w:eastAsia="en-US" w:bidi="ar-SA"/>
        </w:rPr>
        <w:t xml:space="preserve">): </w:t>
      </w:r>
    </w:p>
    <w:p w14:paraId="620CA84F">
      <w:pPr>
        <w:numPr>
          <w:ilvl w:val="1"/>
          <w:numId w:val="6"/>
        </w:numPr>
        <w:spacing w:after="120"/>
        <w:ind w:left="1655" w:hanging="357"/>
        <w:contextualSpacing w:val="0"/>
        <w:rPr>
          <w:rFonts w:ascii="Times New Roman" w:hAnsi="Times New Roman" w:cs="Times New Roman" w:eastAsiaTheme="minorEastAsia"/>
          <w:i/>
          <w:iCs/>
          <w:sz w:val="20"/>
          <w:highlight w:val="none"/>
        </w:rPr>
      </w:pPr>
      <w:bookmarkStart w:id="15" w:name="_Toc181990343"/>
      <w:r>
        <w:rPr>
          <w:rFonts w:ascii="Times New Roman" w:hAnsi="Times New Roman" w:cs="Times New Roman" w:eastAsiaTheme="minorEastAsia"/>
          <w:i/>
          <w:iCs/>
          <w:sz w:val="20"/>
          <w:highlight w:val="none"/>
        </w:rPr>
        <w:t>Only support hard satellite switching for RedCap UEs</w:t>
      </w:r>
      <w:bookmarkEnd w:id="15"/>
    </w:p>
    <w:p w14:paraId="47A4F679">
      <w:pPr>
        <w:outlineLvl w:val="9"/>
        <w:rPr>
          <w:rFonts w:hint="eastAsia"/>
          <w:b/>
          <w:i/>
          <w:iCs/>
          <w:sz w:val="20"/>
          <w:szCs w:val="20"/>
          <w:highlight w:val="none"/>
          <w:u w:val="single"/>
          <w:lang w:val="en-US" w:eastAsia="ko-KR"/>
        </w:rPr>
      </w:pPr>
    </w:p>
    <w:p w14:paraId="06CA2BA3">
      <w:pPr>
        <w:numPr>
          <w:ilvl w:val="0"/>
          <w:numId w:val="0"/>
        </w:numPr>
        <w:spacing w:after="0"/>
        <w:contextualSpacing/>
        <w:jc w:val="both"/>
        <w:rPr>
          <w:rFonts w:hint="eastAsia"/>
          <w:b w:val="0"/>
          <w:bCs w:val="0"/>
          <w:i w:val="0"/>
          <w:iCs w:val="0"/>
          <w:sz w:val="20"/>
          <w:szCs w:val="20"/>
          <w:lang w:val="en-US" w:eastAsia="zh-CN"/>
        </w:rPr>
      </w:pPr>
      <w:r>
        <w:rPr>
          <w:rFonts w:hint="eastAsia"/>
          <w:b w:val="0"/>
          <w:bCs w:val="0"/>
          <w:i w:val="0"/>
          <w:iCs w:val="0"/>
          <w:sz w:val="20"/>
          <w:szCs w:val="20"/>
          <w:lang w:val="en-US" w:eastAsia="zh-CN"/>
        </w:rPr>
        <w:t>For RACH-based HO, RACH-less HO, Time/location-based CHO without L3 measurement and Satellite switching with re-synchronization, following applicability rules to adapt HD-FDD case should be added:</w:t>
      </w:r>
    </w:p>
    <w:p w14:paraId="7C0890DB">
      <w:pPr>
        <w:keepNext w:val="0"/>
        <w:keepLines w:val="0"/>
        <w:pageBreakBefore w:val="0"/>
        <w:widowControl/>
        <w:numPr>
          <w:ilvl w:val="3"/>
          <w:numId w:val="0"/>
        </w:numPr>
        <w:kinsoku/>
        <w:wordWrap/>
        <w:overflowPunct/>
        <w:topLinePunct w:val="0"/>
        <w:autoSpaceDE/>
        <w:autoSpaceDN/>
        <w:bidi w:val="0"/>
        <w:adjustRightInd/>
        <w:snapToGrid/>
        <w:ind w:leftChars="200"/>
        <w:contextualSpacing w:val="0"/>
        <w:jc w:val="both"/>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 xml:space="preserve">For RedCap NTN UE with HD-FDD, the requirements are met provided that </w:t>
      </w:r>
    </w:p>
    <w:p w14:paraId="3B7AD87B">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jc w:val="both"/>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SSB is available at the UE once every SMTC period during T</w:t>
      </w:r>
      <w:r>
        <w:rPr>
          <w:rFonts w:ascii="Times New Roman" w:hAnsi="Times New Roman" w:eastAsia="宋体" w:cs="Times New Roman"/>
          <w:i w:val="0"/>
          <w:iCs w:val="0"/>
          <w:sz w:val="20"/>
          <w:szCs w:val="20"/>
          <w:vertAlign w:val="subscript"/>
          <w:lang w:val="en-US" w:eastAsia="en-US" w:bidi="ar-SA"/>
        </w:rPr>
        <w:t>search</w:t>
      </w:r>
    </w:p>
    <w:p w14:paraId="284F9FB6">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jc w:val="both"/>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One SSB is available during T</w:t>
      </w:r>
      <w:r>
        <w:rPr>
          <w:rFonts w:ascii="Times New Roman" w:hAnsi="Times New Roman" w:eastAsia="宋体" w:cs="Times New Roman"/>
          <w:i w:val="0"/>
          <w:iCs w:val="0"/>
          <w:sz w:val="20"/>
          <w:szCs w:val="20"/>
          <w:vertAlign w:val="subscript"/>
          <w:lang w:val="en-US" w:eastAsia="en-US" w:bidi="ar-SA"/>
        </w:rPr>
        <w:t>∆</w:t>
      </w:r>
    </w:p>
    <w:p w14:paraId="206F659D">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jc w:val="both"/>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One SSB is available during T</w:t>
      </w:r>
      <w:r>
        <w:rPr>
          <w:rFonts w:ascii="Times New Roman" w:hAnsi="Times New Roman" w:eastAsia="宋体" w:cs="Times New Roman"/>
          <w:i w:val="0"/>
          <w:iCs w:val="0"/>
          <w:sz w:val="20"/>
          <w:szCs w:val="20"/>
          <w:vertAlign w:val="subscript"/>
          <w:lang w:val="en-US" w:eastAsia="en-US" w:bidi="ar-SA"/>
        </w:rPr>
        <w:t>IU</w:t>
      </w:r>
      <w:r>
        <w:rPr>
          <w:rFonts w:ascii="Times New Roman" w:hAnsi="Times New Roman" w:eastAsia="宋体" w:cs="Times New Roman"/>
          <w:i w:val="0"/>
          <w:iCs w:val="0"/>
          <w:sz w:val="20"/>
          <w:szCs w:val="20"/>
          <w:lang w:val="en-US" w:eastAsia="en-US" w:bidi="ar-SA"/>
        </w:rPr>
        <w:t>.</w:t>
      </w:r>
    </w:p>
    <w:p w14:paraId="05BEA67B">
      <w:pPr>
        <w:numPr>
          <w:ilvl w:val="0"/>
          <w:numId w:val="0"/>
        </w:numPr>
        <w:spacing w:after="0"/>
        <w:contextualSpacing/>
        <w:jc w:val="both"/>
        <w:rPr>
          <w:rFonts w:hint="eastAsia"/>
          <w:b w:val="0"/>
          <w:bCs w:val="0"/>
          <w:i w:val="0"/>
          <w:iCs w:val="0"/>
          <w:sz w:val="20"/>
          <w:szCs w:val="20"/>
          <w:lang w:val="en-US" w:eastAsia="zh-CN"/>
        </w:rPr>
      </w:pPr>
      <w:r>
        <w:rPr>
          <w:rFonts w:hint="eastAsia"/>
          <w:b w:val="0"/>
          <w:bCs w:val="0"/>
          <w:i w:val="0"/>
          <w:iCs w:val="0"/>
          <w:sz w:val="20"/>
          <w:szCs w:val="20"/>
          <w:lang w:val="en-US" w:eastAsia="zh-CN"/>
        </w:rPr>
        <w:t>For Time/location-based CHO with L3 measurement, due to the target cell must be the known cell, no T</w:t>
      </w:r>
      <w:r>
        <w:rPr>
          <w:rFonts w:hint="eastAsia"/>
          <w:b w:val="0"/>
          <w:bCs w:val="0"/>
          <w:i w:val="0"/>
          <w:iCs w:val="0"/>
          <w:sz w:val="20"/>
          <w:szCs w:val="20"/>
          <w:vertAlign w:val="subscript"/>
          <w:lang w:val="en-US" w:eastAsia="zh-CN"/>
        </w:rPr>
        <w:t>serach</w:t>
      </w:r>
      <w:r>
        <w:rPr>
          <w:rFonts w:hint="eastAsia"/>
          <w:b w:val="0"/>
          <w:bCs w:val="0"/>
          <w:i w:val="0"/>
          <w:iCs w:val="0"/>
          <w:sz w:val="20"/>
          <w:szCs w:val="20"/>
          <w:lang w:val="en-US" w:eastAsia="zh-CN"/>
        </w:rPr>
        <w:t xml:space="preserve"> needed in the interruption, following applicability rules to adapt HD-FDD case should be added:</w:t>
      </w:r>
    </w:p>
    <w:p w14:paraId="7B4374A6">
      <w:pPr>
        <w:keepNext w:val="0"/>
        <w:keepLines w:val="0"/>
        <w:pageBreakBefore w:val="0"/>
        <w:widowControl/>
        <w:numPr>
          <w:ilvl w:val="3"/>
          <w:numId w:val="0"/>
        </w:numPr>
        <w:kinsoku/>
        <w:wordWrap/>
        <w:overflowPunct/>
        <w:topLinePunct w:val="0"/>
        <w:autoSpaceDE/>
        <w:autoSpaceDN/>
        <w:bidi w:val="0"/>
        <w:adjustRightInd/>
        <w:snapToGrid/>
        <w:ind w:leftChars="200"/>
        <w:contextualSpacing w:val="0"/>
        <w:jc w:val="both"/>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 xml:space="preserve">For RedCap NTN UE with HD-FDD, the requirements are met provided that </w:t>
      </w:r>
    </w:p>
    <w:p w14:paraId="2BAB8B91">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jc w:val="both"/>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One SSB is available during T</w:t>
      </w:r>
      <w:r>
        <w:rPr>
          <w:rFonts w:ascii="Times New Roman" w:hAnsi="Times New Roman" w:eastAsia="宋体" w:cs="Times New Roman"/>
          <w:i w:val="0"/>
          <w:iCs w:val="0"/>
          <w:sz w:val="20"/>
          <w:szCs w:val="20"/>
          <w:vertAlign w:val="subscript"/>
          <w:lang w:val="en-US" w:eastAsia="en-US" w:bidi="ar-SA"/>
        </w:rPr>
        <w:t>∆</w:t>
      </w:r>
    </w:p>
    <w:p w14:paraId="156C1292">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jc w:val="both"/>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One SSB is available during T</w:t>
      </w:r>
      <w:r>
        <w:rPr>
          <w:rFonts w:ascii="Times New Roman" w:hAnsi="Times New Roman" w:eastAsia="宋体" w:cs="Times New Roman"/>
          <w:i w:val="0"/>
          <w:iCs w:val="0"/>
          <w:sz w:val="20"/>
          <w:szCs w:val="20"/>
          <w:vertAlign w:val="subscript"/>
          <w:lang w:val="en-US" w:eastAsia="en-US" w:bidi="ar-SA"/>
        </w:rPr>
        <w:t>IU</w:t>
      </w:r>
      <w:r>
        <w:rPr>
          <w:rFonts w:ascii="Times New Roman" w:hAnsi="Times New Roman" w:eastAsia="宋体" w:cs="Times New Roman"/>
          <w:i w:val="0"/>
          <w:iCs w:val="0"/>
          <w:sz w:val="20"/>
          <w:szCs w:val="20"/>
          <w:lang w:val="en-US" w:eastAsia="en-US" w:bidi="ar-SA"/>
        </w:rPr>
        <w:t>.</w:t>
      </w:r>
    </w:p>
    <w:p w14:paraId="782B495B">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21: For RACH-based HO, RACH-less HO, Time/location-based CHO without L3 measurement and Satellite switching with re-synchronization, following applicability rules to adapt HD-FDD case should be added:</w:t>
      </w:r>
    </w:p>
    <w:p w14:paraId="42CD5859">
      <w:pPr>
        <w:keepNext w:val="0"/>
        <w:keepLines w:val="0"/>
        <w:pageBreakBefore w:val="0"/>
        <w:widowControl/>
        <w:numPr>
          <w:ilvl w:val="3"/>
          <w:numId w:val="0"/>
        </w:numPr>
        <w:kinsoku/>
        <w:wordWrap/>
        <w:overflowPunct/>
        <w:topLinePunct w:val="0"/>
        <w:autoSpaceDE/>
        <w:autoSpaceDN/>
        <w:bidi w:val="0"/>
        <w:adjustRightInd/>
        <w:snapToGrid/>
        <w:ind w:leftChars="200"/>
        <w:contextualSpacing w:val="0"/>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 xml:space="preserve">For RedCap NTN UE with HD-FDD, the requirements are met provided that </w:t>
      </w:r>
    </w:p>
    <w:p w14:paraId="0B1DA957">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SSB is available at the UE once every SMTC period during T</w:t>
      </w:r>
      <w:r>
        <w:rPr>
          <w:rFonts w:ascii="Times New Roman" w:hAnsi="Times New Roman" w:eastAsia="宋体" w:cs="Times New Roman"/>
          <w:b/>
          <w:bCs/>
          <w:i/>
          <w:iCs/>
          <w:sz w:val="20"/>
          <w:szCs w:val="20"/>
          <w:vertAlign w:val="subscript"/>
          <w:lang w:val="en-US" w:eastAsia="en-US" w:bidi="ar-SA"/>
        </w:rPr>
        <w:t>search</w:t>
      </w:r>
    </w:p>
    <w:p w14:paraId="1965081E">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w:t>
      </w:r>
    </w:p>
    <w:p w14:paraId="20CA26D8">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IU</w:t>
      </w:r>
      <w:r>
        <w:rPr>
          <w:rFonts w:ascii="Times New Roman" w:hAnsi="Times New Roman" w:eastAsia="宋体" w:cs="Times New Roman"/>
          <w:b/>
          <w:bCs/>
          <w:i/>
          <w:iCs/>
          <w:sz w:val="20"/>
          <w:szCs w:val="20"/>
          <w:lang w:val="en-US" w:eastAsia="en-US" w:bidi="ar-SA"/>
        </w:rPr>
        <w:t>.</w:t>
      </w:r>
    </w:p>
    <w:p w14:paraId="3DDE3657">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22: For Time/location-based CHO with L3 measurement, following applicability rules to adapt HD-FDD case should be added:</w:t>
      </w:r>
    </w:p>
    <w:p w14:paraId="6741F917">
      <w:pPr>
        <w:keepNext w:val="0"/>
        <w:keepLines w:val="0"/>
        <w:pageBreakBefore w:val="0"/>
        <w:widowControl/>
        <w:numPr>
          <w:ilvl w:val="3"/>
          <w:numId w:val="0"/>
        </w:numPr>
        <w:kinsoku/>
        <w:wordWrap/>
        <w:overflowPunct/>
        <w:topLinePunct w:val="0"/>
        <w:autoSpaceDE/>
        <w:autoSpaceDN/>
        <w:bidi w:val="0"/>
        <w:adjustRightInd/>
        <w:snapToGrid/>
        <w:ind w:leftChars="200"/>
        <w:contextualSpacing w:val="0"/>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 xml:space="preserve">For RedCap NTN UE with HD-FDD, the requirements are met provided that </w:t>
      </w:r>
    </w:p>
    <w:p w14:paraId="070EED08">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w:t>
      </w:r>
    </w:p>
    <w:p w14:paraId="4291F1A3">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IU</w:t>
      </w:r>
    </w:p>
    <w:p w14:paraId="1589F949">
      <w:pPr>
        <w:pStyle w:val="2"/>
        <w:numPr>
          <w:ilvl w:val="0"/>
          <w:numId w:val="5"/>
        </w:numPr>
        <w:pBdr>
          <w:top w:val="single" w:color="auto" w:sz="12" w:space="3"/>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zh-CN"/>
        </w:rPr>
        <w:t>Others</w:t>
      </w:r>
    </w:p>
    <w:p w14:paraId="34AC1CD4">
      <w:pPr>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4-2-1: How to declare the capabilities for (e)RedCap UE with FR1-NTN bands?</w:t>
      </w:r>
    </w:p>
    <w:p w14:paraId="6C8B23E9">
      <w:pPr>
        <w:keepNext w:val="0"/>
        <w:keepLines w:val="0"/>
        <w:pageBreakBefore w:val="0"/>
        <w:widowControl/>
        <w:kinsoku/>
        <w:wordWrap/>
        <w:overflowPunct/>
        <w:topLinePunct w:val="0"/>
        <w:autoSpaceDE/>
        <w:autoSpaceDN/>
        <w:bidi w:val="0"/>
        <w:adjustRightInd/>
        <w:snapToGrid/>
        <w:spacing w:after="60"/>
        <w:textAlignment w:val="auto"/>
        <w:rPr>
          <w:rFonts w:eastAsia="宋体"/>
          <w:b/>
          <w:i/>
          <w:iCs/>
          <w:sz w:val="20"/>
          <w:szCs w:val="20"/>
          <w:lang w:eastAsia="zh-CN"/>
        </w:rPr>
      </w:pPr>
      <w:r>
        <w:rPr>
          <w:rFonts w:eastAsia="宋体"/>
          <w:b/>
          <w:i/>
          <w:iCs/>
          <w:sz w:val="20"/>
          <w:szCs w:val="20"/>
          <w:lang w:eastAsia="en-US"/>
        </w:rPr>
        <w:t>&lt;Way Forward&gt;</w:t>
      </w:r>
      <w:r>
        <w:rPr>
          <w:rFonts w:hint="eastAsia" w:eastAsia="宋体"/>
          <w:b/>
          <w:i/>
          <w:iCs/>
          <w:sz w:val="20"/>
          <w:szCs w:val="20"/>
          <w:lang w:eastAsia="zh-CN"/>
        </w:rPr>
        <w:t>:</w:t>
      </w:r>
    </w:p>
    <w:p w14:paraId="011D43D9">
      <w:pPr>
        <w:numPr>
          <w:ilvl w:val="0"/>
          <w:numId w:val="6"/>
        </w:numPr>
        <w:spacing w:after="120"/>
        <w:ind w:left="720"/>
        <w:contextualSpacing w:val="0"/>
        <w:rPr>
          <w:rFonts w:ascii="Times New Roman" w:hAnsi="Times New Roman" w:cs="Times New Roman"/>
          <w:bCs/>
          <w:sz w:val="20"/>
        </w:rPr>
      </w:pPr>
      <w:r>
        <w:rPr>
          <w:rFonts w:ascii="Times New Roman" w:hAnsi="Times New Roman" w:cs="Times New Roman"/>
          <w:sz w:val="20"/>
        </w:rPr>
        <w:t>Proposal 1 (</w:t>
      </w:r>
      <w:r>
        <w:rPr>
          <w:rFonts w:hint="eastAsia" w:ascii="Times New Roman" w:hAnsi="Times New Roman" w:cs="Times New Roman"/>
          <w:sz w:val="20"/>
        </w:rPr>
        <w:t>Nokia</w:t>
      </w:r>
      <w:r>
        <w:rPr>
          <w:rFonts w:ascii="Times New Roman" w:hAnsi="Times New Roman" w:cs="Times New Roman"/>
          <w:sz w:val="20"/>
        </w:rPr>
        <w:t xml:space="preserve">): </w:t>
      </w:r>
      <w:r>
        <w:rPr>
          <w:rFonts w:ascii="Times New Roman" w:hAnsi="Times New Roman" w:cs="Times New Roman" w:eastAsiaTheme="minorEastAsia"/>
          <w:iCs/>
          <w:sz w:val="20"/>
        </w:rPr>
        <w:t>RAN4 to discuss whether a new capability is needed to declare RedCap support of NTN or whether this support is implicit from declaring support of RedCap (</w:t>
      </w:r>
      <w:r>
        <w:rPr>
          <w:rFonts w:ascii="Times New Roman" w:hAnsi="Times New Roman" w:cs="Times New Roman" w:eastAsiaTheme="minorEastAsia"/>
          <w:i/>
          <w:iCs/>
          <w:sz w:val="20"/>
        </w:rPr>
        <w:t>supportOfRedCap-r17</w:t>
      </w:r>
      <w:r>
        <w:rPr>
          <w:rFonts w:ascii="Times New Roman" w:hAnsi="Times New Roman" w:cs="Times New Roman" w:eastAsiaTheme="minorEastAsia"/>
          <w:iCs/>
          <w:sz w:val="20"/>
        </w:rPr>
        <w:t xml:space="preserve"> or </w:t>
      </w:r>
      <w:r>
        <w:rPr>
          <w:rFonts w:ascii="Times New Roman" w:hAnsi="Times New Roman" w:cs="Times New Roman" w:eastAsiaTheme="minorEastAsia"/>
          <w:i/>
          <w:iCs/>
          <w:sz w:val="20"/>
        </w:rPr>
        <w:t>supportOfERedCap-r18</w:t>
      </w:r>
      <w:r>
        <w:rPr>
          <w:rFonts w:ascii="Times New Roman" w:hAnsi="Times New Roman" w:cs="Times New Roman" w:eastAsiaTheme="minorEastAsia"/>
          <w:iCs/>
          <w:sz w:val="20"/>
        </w:rPr>
        <w:t>) AND declare support of NTN (</w:t>
      </w:r>
      <w:r>
        <w:rPr>
          <w:rFonts w:ascii="Times New Roman" w:hAnsi="Times New Roman" w:cs="Times New Roman" w:eastAsiaTheme="minorEastAsia"/>
          <w:i/>
          <w:iCs/>
          <w:sz w:val="20"/>
        </w:rPr>
        <w:t>nonTerrestrialNetwork-r17</w:t>
      </w:r>
      <w:r>
        <w:rPr>
          <w:rFonts w:ascii="Times New Roman" w:hAnsi="Times New Roman" w:cs="Times New Roman" w:eastAsiaTheme="minorEastAsia"/>
          <w:iCs/>
          <w:sz w:val="20"/>
        </w:rPr>
        <w:t>)</w:t>
      </w:r>
    </w:p>
    <w:p w14:paraId="4211CA04">
      <w:pPr>
        <w:numPr>
          <w:ilvl w:val="1"/>
          <w:numId w:val="6"/>
        </w:numPr>
        <w:spacing w:after="120"/>
        <w:ind w:left="1140" w:leftChars="0"/>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Proposal 1</w:t>
      </w:r>
      <w:r>
        <w:rPr>
          <w:rFonts w:hint="eastAsia" w:ascii="Times New Roman" w:hAnsi="Times New Roman" w:cs="Times New Roman" w:eastAsiaTheme="minorEastAsia"/>
          <w:iCs/>
          <w:sz w:val="20"/>
        </w:rPr>
        <w:t>a</w:t>
      </w:r>
      <w:r>
        <w:rPr>
          <w:rFonts w:ascii="Times New Roman" w:hAnsi="Times New Roman" w:cs="Times New Roman" w:eastAsiaTheme="minorEastAsia"/>
          <w:iCs/>
          <w:sz w:val="20"/>
        </w:rPr>
        <w:t xml:space="preserve"> (</w:t>
      </w:r>
      <w:r>
        <w:rPr>
          <w:rFonts w:hint="eastAsia" w:ascii="Times New Roman" w:hAnsi="Times New Roman" w:cs="Times New Roman" w:eastAsiaTheme="minorEastAsia"/>
          <w:iCs/>
          <w:sz w:val="20"/>
        </w:rPr>
        <w:t>CMCC</w:t>
      </w:r>
      <w:r>
        <w:rPr>
          <w:rFonts w:ascii="Times New Roman" w:hAnsi="Times New Roman" w:cs="Times New Roman" w:eastAsiaTheme="minorEastAsia"/>
          <w:iCs/>
          <w:sz w:val="20"/>
        </w:rPr>
        <w:t>): Declare the capabilities for (e)RedCap UE with FR1-NTN bands through implicitly by declaring support of RedCap (</w:t>
      </w:r>
      <w:r>
        <w:rPr>
          <w:rFonts w:ascii="Times New Roman" w:hAnsi="Times New Roman" w:cs="Times New Roman" w:eastAsiaTheme="minorEastAsia"/>
          <w:i/>
          <w:iCs/>
          <w:sz w:val="20"/>
        </w:rPr>
        <w:t xml:space="preserve">supportOfRedCap-r17 </w:t>
      </w:r>
      <w:r>
        <w:rPr>
          <w:rFonts w:ascii="Times New Roman" w:hAnsi="Times New Roman" w:cs="Times New Roman" w:eastAsiaTheme="minorEastAsia"/>
          <w:iCs/>
          <w:sz w:val="20"/>
        </w:rPr>
        <w:t xml:space="preserve">or </w:t>
      </w:r>
      <w:r>
        <w:rPr>
          <w:rFonts w:ascii="Times New Roman" w:hAnsi="Times New Roman" w:cs="Times New Roman" w:eastAsiaTheme="minorEastAsia"/>
          <w:i/>
          <w:iCs/>
          <w:sz w:val="20"/>
        </w:rPr>
        <w:t>supportOfERedCap-r18</w:t>
      </w:r>
      <w:r>
        <w:rPr>
          <w:rFonts w:ascii="Times New Roman" w:hAnsi="Times New Roman" w:cs="Times New Roman" w:eastAsiaTheme="minorEastAsia"/>
          <w:iCs/>
          <w:sz w:val="20"/>
        </w:rPr>
        <w:t>) and support of NTN (</w:t>
      </w:r>
      <w:r>
        <w:rPr>
          <w:rFonts w:ascii="Times New Roman" w:hAnsi="Times New Roman" w:cs="Times New Roman" w:eastAsiaTheme="minorEastAsia"/>
          <w:i/>
          <w:iCs/>
          <w:sz w:val="20"/>
        </w:rPr>
        <w:t>nonTerrestrialNetwork-r17</w:t>
      </w:r>
      <w:r>
        <w:rPr>
          <w:rFonts w:ascii="Times New Roman" w:hAnsi="Times New Roman" w:cs="Times New Roman" w:eastAsiaTheme="minorEastAsia"/>
          <w:iCs/>
          <w:sz w:val="20"/>
        </w:rPr>
        <w:t>).</w:t>
      </w:r>
    </w:p>
    <w:p w14:paraId="00F46047">
      <w:pPr>
        <w:numPr>
          <w:ilvl w:val="1"/>
          <w:numId w:val="6"/>
        </w:numPr>
        <w:spacing w:after="120"/>
        <w:ind w:left="1140" w:leftChars="0"/>
        <w:contextualSpacing w:val="0"/>
        <w:rPr>
          <w:rFonts w:ascii="Times New Roman" w:hAnsi="Times New Roman" w:cs="Times New Roman" w:eastAsiaTheme="minorEastAsia"/>
          <w:iCs/>
          <w:sz w:val="20"/>
        </w:rPr>
      </w:pPr>
      <w:r>
        <w:rPr>
          <w:rFonts w:ascii="Times New Roman" w:hAnsi="Times New Roman" w:cs="Times New Roman" w:eastAsiaTheme="minorEastAsia"/>
          <w:iCs/>
          <w:sz w:val="20"/>
        </w:rPr>
        <w:t xml:space="preserve">Proposal </w:t>
      </w:r>
      <w:r>
        <w:rPr>
          <w:rFonts w:hint="eastAsia" w:ascii="Times New Roman" w:hAnsi="Times New Roman" w:cs="Times New Roman" w:eastAsiaTheme="minorEastAsia"/>
          <w:iCs/>
          <w:sz w:val="20"/>
        </w:rPr>
        <w:t>1b</w:t>
      </w:r>
      <w:r>
        <w:rPr>
          <w:rFonts w:ascii="Times New Roman" w:hAnsi="Times New Roman" w:cs="Times New Roman" w:eastAsiaTheme="minorEastAsia"/>
          <w:iCs/>
          <w:sz w:val="20"/>
        </w:rPr>
        <w:t xml:space="preserve"> (Ericsson): RAN4 to define a new capability declaring (e) RedCap for NTN.</w:t>
      </w:r>
    </w:p>
    <w:p w14:paraId="693266A6">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For (e)Redcap UE capability declaring, both way as stated in proposal 1 is workable. Considering the principle of no need to introduce new capability if existing capability can be used, we slightly prefer the implicit way to save the workload of RAN2. </w:t>
      </w:r>
    </w:p>
    <w:p w14:paraId="3121BA10">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eastAsiaTheme="minorEastAsia"/>
          <w:b/>
          <w:bCs/>
          <w:i/>
          <w:iCs/>
          <w:sz w:val="20"/>
          <w:szCs w:val="20"/>
          <w:lang w:val="en-US" w:eastAsia="zh-CN"/>
        </w:rPr>
      </w:pPr>
      <w:r>
        <w:rPr>
          <w:rFonts w:hint="eastAsia"/>
          <w:b/>
          <w:bCs/>
          <w:i/>
          <w:iCs/>
          <w:sz w:val="20"/>
          <w:szCs w:val="20"/>
          <w:lang w:val="en-US" w:eastAsia="zh-CN"/>
        </w:rPr>
        <w:t>Proposal 23: D</w:t>
      </w:r>
      <w:r>
        <w:rPr>
          <w:rFonts w:hint="eastAsia"/>
          <w:b/>
          <w:bCs/>
          <w:i/>
          <w:iCs/>
          <w:sz w:val="20"/>
          <w:szCs w:val="20"/>
          <w:lang w:val="en-US" w:eastAsia="en-US"/>
        </w:rPr>
        <w:t>eclare the capabilities for (e)RedCap UE with FR1-NTN bands</w:t>
      </w:r>
      <w:r>
        <w:rPr>
          <w:rFonts w:hint="eastAsia"/>
          <w:b/>
          <w:bCs/>
          <w:i/>
          <w:iCs/>
          <w:sz w:val="20"/>
          <w:szCs w:val="20"/>
          <w:lang w:val="en-US" w:eastAsia="zh-CN"/>
        </w:rPr>
        <w:t xml:space="preserve"> through implicitly by declaring </w:t>
      </w:r>
      <w:r>
        <w:rPr>
          <w:rFonts w:hint="eastAsia"/>
          <w:b/>
          <w:bCs/>
          <w:i/>
          <w:iCs/>
          <w:sz w:val="20"/>
          <w:szCs w:val="20"/>
          <w:lang w:val="en-US" w:eastAsia="en-US"/>
        </w:rPr>
        <w:t xml:space="preserve">support of RedCap (supportOfRedCap-r17 or supportOfERedCap-r18) </w:t>
      </w:r>
      <w:r>
        <w:rPr>
          <w:rFonts w:hint="eastAsia"/>
          <w:b/>
          <w:bCs/>
          <w:i/>
          <w:iCs/>
          <w:sz w:val="20"/>
          <w:szCs w:val="20"/>
          <w:lang w:val="en-US" w:eastAsia="zh-CN"/>
        </w:rPr>
        <w:t>and</w:t>
      </w:r>
      <w:r>
        <w:rPr>
          <w:rFonts w:hint="eastAsia"/>
          <w:b/>
          <w:bCs/>
          <w:i/>
          <w:iCs/>
          <w:sz w:val="20"/>
          <w:szCs w:val="20"/>
          <w:lang w:val="en-US" w:eastAsia="en-US"/>
        </w:rPr>
        <w:t xml:space="preserve"> support of NTN (nonTerrestrialNetwork-r17)</w:t>
      </w:r>
      <w:r>
        <w:rPr>
          <w:rFonts w:hint="eastAsia"/>
          <w:b/>
          <w:bCs/>
          <w:i/>
          <w:iCs/>
          <w:sz w:val="20"/>
          <w:szCs w:val="20"/>
          <w:lang w:val="en-US" w:eastAsia="zh-CN"/>
        </w:rPr>
        <w:t>.</w:t>
      </w:r>
    </w:p>
    <w:p w14:paraId="705C9CC8">
      <w:pPr>
        <w:outlineLvl w:val="9"/>
        <w:rPr>
          <w:rFonts w:hint="default"/>
          <w:b/>
          <w:i/>
          <w:iCs/>
          <w:sz w:val="20"/>
          <w:szCs w:val="20"/>
          <w:highlight w:val="none"/>
          <w:u w:val="single"/>
          <w:lang w:val="en-US" w:eastAsia="zh-CN"/>
        </w:rPr>
      </w:pPr>
    </w:p>
    <w:bookmarkEnd w:id="6"/>
    <w:p w14:paraId="4503E848">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965FD2E">
      <w:pPr>
        <w:spacing w:before="60"/>
        <w:rPr>
          <w:sz w:val="20"/>
          <w:szCs w:val="20"/>
        </w:rPr>
      </w:pPr>
      <w:r>
        <w:rPr>
          <w:sz w:val="20"/>
          <w:szCs w:val="20"/>
        </w:rPr>
        <w:t xml:space="preserve">Based on the discussion above, the following observations and proposals are concluded. </w:t>
      </w:r>
      <w:bookmarkEnd w:id="7"/>
      <w:bookmarkEnd w:id="8"/>
    </w:p>
    <w:p w14:paraId="7A1899D5">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Define the cell re-selection requirement for inter-RAT (NTN to E-UTRA TN) measurement.</w:t>
      </w:r>
    </w:p>
    <w:p w14:paraId="52270A22">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eastAsia="宋体" w:cs="Times New Roman"/>
          <w:i/>
          <w:iCs/>
          <w:sz w:val="20"/>
          <w:szCs w:val="20"/>
          <w:lang w:val="en-US" w:eastAsia="zh-CN" w:bidi="ar-SA"/>
        </w:rPr>
      </w:pPr>
      <w:r>
        <w:rPr>
          <w:rFonts w:hint="eastAsia"/>
          <w:b/>
          <w:bCs/>
          <w:i/>
          <w:iCs/>
          <w:sz w:val="20"/>
          <w:szCs w:val="20"/>
          <w:lang w:val="en-US" w:eastAsia="zh-CN"/>
        </w:rPr>
        <w:t xml:space="preserve">Proposal 2: For CG-SDT TA validation, define the requirement based on </w:t>
      </w:r>
      <w:r>
        <w:rPr>
          <w:rFonts w:hint="eastAsia"/>
          <w:b/>
          <w:bCs/>
          <w:i/>
          <w:iCs/>
          <w:kern w:val="2"/>
          <w:sz w:val="20"/>
          <w:szCs w:val="20"/>
          <w:lang w:val="en-US" w:eastAsia="zh-CN"/>
        </w:rPr>
        <w:t xml:space="preserve">cg-SDT-timeAlignmentTimer and valid values for </w:t>
      </w:r>
      <m:oMath>
        <m:sSub>
          <m:sSubPr>
            <m:ctrlPr>
              <w:rPr>
                <w:rFonts w:ascii="Cambria Math" w:hAnsi="Cambria Math" w:eastAsia="Times New Roman"/>
                <w:b/>
                <w:bCs/>
                <w:i/>
                <w:iCs/>
                <w:color w:val="000000"/>
                <w:sz w:val="20"/>
                <w:szCs w:val="20"/>
                <w:lang w:val="en-US" w:eastAsia="zh-CN"/>
              </w:rPr>
            </m:ctrlPr>
          </m:sSub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m:t>
            </m:r>
            <m:ctrlPr>
              <w:rPr>
                <w:rFonts w:ascii="Cambria Math" w:hAnsi="Cambria Math" w:eastAsia="Times New Roman"/>
                <w:b/>
                <w:bCs/>
                <w:i/>
                <w:iCs/>
                <w:color w:val="000000"/>
                <w:sz w:val="20"/>
                <w:szCs w:val="20"/>
                <w:lang w:val="en-US" w:eastAsia="zh-CN"/>
              </w:rPr>
            </m:ctrlPr>
          </m:sub>
        </m:sSub>
        <m:r>
          <m:rPr>
            <m:sty m:val="bi"/>
          </m:rPr>
          <w:rPr>
            <w:rFonts w:ascii="Cambria Math" w:hAnsi="Cambria Math" w:eastAsia="Times New Roman"/>
            <w:color w:val="000000"/>
            <w:sz w:val="20"/>
            <w:szCs w:val="20"/>
            <w:lang w:val="en-US" w:eastAsia="zh-CN"/>
          </w:rPr>
          <m:t xml:space="preserve">, </m:t>
        </m:r>
        <m:sSub>
          <m:sSubPr>
            <m:ctrlPr>
              <w:rPr>
                <w:rFonts w:ascii="Cambria Math" w:hAnsi="Cambria Math" w:eastAsia="Times New Roman"/>
                <w:b/>
                <w:bCs/>
                <w:i/>
                <w:iCs/>
                <w:color w:val="000000"/>
                <w:sz w:val="20"/>
                <w:szCs w:val="20"/>
                <w:lang w:val="en-US" w:eastAsia="zh-CN"/>
              </w:rPr>
            </m:ctrlPr>
          </m:sSub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TA,offset</m:t>
            </m:r>
            <m:ctrlPr>
              <w:rPr>
                <w:rFonts w:ascii="Cambria Math" w:hAnsi="Cambria Math" w:eastAsia="Times New Roman"/>
                <w:b/>
                <w:bCs/>
                <w:i/>
                <w:iCs/>
                <w:color w:val="000000"/>
                <w:sz w:val="20"/>
                <w:szCs w:val="20"/>
                <w:lang w:val="en-US" w:eastAsia="zh-CN"/>
              </w:rPr>
            </m:ctrlPr>
          </m:sub>
        </m:sSub>
        <m:r>
          <m:rPr>
            <m:sty m:val="bi"/>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bCs/>
                <w:i/>
                <w:iCs/>
                <w:color w:val="000000"/>
                <w:sz w:val="20"/>
                <w:szCs w:val="20"/>
                <w:lang w:val="en-US" w:eastAsia="zh-CN"/>
              </w:rPr>
            </m:ctrlPr>
          </m:sSubSup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TA,adj</m:t>
            </m:r>
            <m:ctrlPr>
              <w:rPr>
                <w:rFonts w:ascii="Cambria Math" w:hAnsi="Cambria Math" w:eastAsia="Times New Roman"/>
                <w:b/>
                <w:bCs/>
                <w:i/>
                <w:iCs/>
                <w:color w:val="000000"/>
                <w:sz w:val="20"/>
                <w:szCs w:val="20"/>
                <w:lang w:val="en-US" w:eastAsia="zh-CN"/>
              </w:rPr>
            </m:ctrlPr>
          </m:sub>
          <m:sup>
            <m:r>
              <m:rPr>
                <m:nor/>
                <m:sty m:val="bi"/>
              </m:rPr>
              <w:rPr>
                <w:rFonts w:ascii="Cambria Math" w:hAnsi="Cambria Math" w:eastAsia="Times New Roman"/>
                <w:b/>
                <w:bCs/>
                <w:i/>
                <w:iCs/>
                <w:color w:val="000000"/>
                <w:sz w:val="20"/>
                <w:szCs w:val="20"/>
                <w:lang w:val="en-US" w:eastAsia="zh-CN"/>
              </w:rPr>
              <m:t>common</m:t>
            </m:r>
            <m:ctrlPr>
              <w:rPr>
                <w:rFonts w:ascii="Cambria Math" w:hAnsi="Cambria Math" w:eastAsia="Times New Roman"/>
                <w:b/>
                <w:bCs/>
                <w:i/>
                <w:iCs/>
                <w:color w:val="000000"/>
                <w:sz w:val="20"/>
                <w:szCs w:val="20"/>
                <w:lang w:val="en-US" w:eastAsia="zh-CN"/>
              </w:rPr>
            </m:ctrlPr>
          </m:sup>
        </m:sSubSup>
      </m:oMath>
      <w:r>
        <w:rPr>
          <w:rFonts w:eastAsia="Yu Mincho"/>
          <w:b/>
          <w:bCs/>
          <w:i/>
          <w:iCs/>
          <w:color w:val="000000"/>
          <w:sz w:val="20"/>
          <w:szCs w:val="20"/>
          <w:lang w:val="en-US" w:eastAsia="zh-CN"/>
        </w:rPr>
        <w:t xml:space="preserve"> and </w:t>
      </w:r>
      <m:oMath>
        <m:r>
          <m:rPr>
            <m:sty m:val="bi"/>
          </m:rPr>
          <w:rPr>
            <w:rFonts w:ascii="Cambria Math" w:hAnsi="Cambria Math" w:eastAsia="Times New Roman"/>
            <w:color w:val="000000"/>
            <w:sz w:val="20"/>
            <w:szCs w:val="20"/>
            <w:lang w:val="en-US" w:eastAsia="zh-CN"/>
          </w:rPr>
          <m:t xml:space="preserve">  </m:t>
        </m:r>
        <m:sSubSup>
          <m:sSubSupPr>
            <m:ctrlPr>
              <w:rPr>
                <w:rFonts w:ascii="Cambria Math" w:hAnsi="Cambria Math" w:eastAsia="Times New Roman"/>
                <w:b/>
                <w:bCs/>
                <w:i/>
                <w:iCs/>
                <w:color w:val="000000"/>
                <w:sz w:val="20"/>
                <w:szCs w:val="20"/>
                <w:lang w:val="en-US" w:eastAsia="zh-CN"/>
              </w:rPr>
            </m:ctrlPr>
          </m:sSubSupPr>
          <m:e>
            <m:r>
              <m:rPr>
                <m:sty m:val="bi"/>
              </m:rPr>
              <w:rPr>
                <w:rFonts w:hint="default" w:ascii="Cambria Math" w:hAnsi="Cambria Math" w:eastAsia="Times New Roman"/>
                <w:color w:val="000000"/>
                <w:sz w:val="20"/>
                <w:szCs w:val="20"/>
                <w:lang w:val="en-US" w:eastAsia="zh-CN"/>
              </w:rPr>
              <m:t>N</m:t>
            </m:r>
            <m:ctrlPr>
              <w:rPr>
                <w:rFonts w:ascii="Cambria Math" w:hAnsi="Cambria Math" w:eastAsia="Times New Roman"/>
                <w:b/>
                <w:bCs/>
                <w:i/>
                <w:iCs/>
                <w:color w:val="000000"/>
                <w:sz w:val="20"/>
                <w:szCs w:val="20"/>
                <w:lang w:val="en-US" w:eastAsia="zh-CN"/>
              </w:rPr>
            </m:ctrlPr>
          </m:e>
          <m:sub>
            <m:r>
              <m:rPr>
                <m:nor/>
                <m:sty m:val="bi"/>
              </m:rPr>
              <w:rPr>
                <w:rFonts w:ascii="Cambria Math" w:hAnsi="Cambria Math" w:eastAsia="Times New Roman"/>
                <w:b/>
                <w:bCs/>
                <w:i/>
                <w:iCs/>
                <w:color w:val="000000"/>
                <w:sz w:val="20"/>
                <w:szCs w:val="20"/>
                <w:lang w:val="en-US" w:eastAsia="zh-CN"/>
              </w:rPr>
              <m:t>TA,adj</m:t>
            </m:r>
            <m:ctrlPr>
              <w:rPr>
                <w:rFonts w:ascii="Cambria Math" w:hAnsi="Cambria Math" w:eastAsia="Times New Roman"/>
                <w:b/>
                <w:bCs/>
                <w:i/>
                <w:iCs/>
                <w:color w:val="000000"/>
                <w:sz w:val="20"/>
                <w:szCs w:val="20"/>
                <w:lang w:val="en-US" w:eastAsia="zh-CN"/>
              </w:rPr>
            </m:ctrlPr>
          </m:sub>
          <m:sup>
            <m:r>
              <m:rPr>
                <m:nor/>
                <m:sty m:val="bi"/>
              </m:rPr>
              <w:rPr>
                <w:rFonts w:ascii="Cambria Math" w:hAnsi="Cambria Math" w:eastAsia="Times New Roman"/>
                <w:b/>
                <w:bCs/>
                <w:i/>
                <w:iCs/>
                <w:color w:val="000000"/>
                <w:sz w:val="20"/>
                <w:szCs w:val="20"/>
                <w:lang w:val="en-US" w:eastAsia="zh-CN"/>
              </w:rPr>
              <m:t>UE</m:t>
            </m:r>
            <m:ctrlPr>
              <w:rPr>
                <w:rFonts w:ascii="Cambria Math" w:hAnsi="Cambria Math" w:eastAsia="Times New Roman"/>
                <w:b/>
                <w:bCs/>
                <w:i/>
                <w:iCs/>
                <w:color w:val="000000"/>
                <w:sz w:val="20"/>
                <w:szCs w:val="20"/>
                <w:lang w:val="en-US" w:eastAsia="zh-CN"/>
              </w:rPr>
            </m:ctrlPr>
          </m:sup>
        </m:sSubSup>
      </m:oMath>
      <w:r>
        <w:rPr>
          <w:rFonts w:hint="eastAsia" w:hAnsi="Cambria Math" w:eastAsia="Times New Roman"/>
          <w:b/>
          <w:bCs/>
          <w:i/>
          <w:iCs/>
          <w:color w:val="000000"/>
          <w:sz w:val="20"/>
          <w:szCs w:val="20"/>
          <w:lang w:val="en-US" w:eastAsia="zh-CN"/>
        </w:rPr>
        <w:t xml:space="preserve"> , specific approach can refer to the PUR requirements for IOT-NTN.</w:t>
      </w:r>
    </w:p>
    <w:p w14:paraId="0A2405B2">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default"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Define the MDT requirements i</w:t>
      </w:r>
      <w:r>
        <w:rPr>
          <w:rFonts w:hint="eastAsia"/>
          <w:b/>
          <w:bCs/>
          <w:i/>
          <w:iCs/>
          <w:sz w:val="20"/>
          <w:szCs w:val="20"/>
          <w:lang w:val="en-US" w:eastAsia="zh-CN"/>
        </w:rPr>
        <w:t xml:space="preserve">n RRC_IDLE and RRC_INACTIVE state </w:t>
      </w:r>
      <w:r>
        <w:rPr>
          <w:rFonts w:hint="eastAsia" w:eastAsia="等线"/>
          <w:b/>
          <w:bCs/>
          <w:i/>
          <w:iCs/>
          <w:sz w:val="20"/>
          <w:szCs w:val="20"/>
          <w:lang w:val="en-US" w:eastAsia="zh-CN"/>
        </w:rPr>
        <w:t>for Redcap over NTN.</w:t>
      </w:r>
    </w:p>
    <w:p w14:paraId="1978A237">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default" w:eastAsia="等线"/>
          <w:b/>
          <w:bCs/>
          <w:i/>
          <w:iCs/>
          <w:sz w:val="20"/>
          <w:szCs w:val="20"/>
          <w:lang w:val="en-US" w:eastAsia="zh-CN"/>
        </w:rPr>
      </w:pPr>
      <w:r>
        <w:rPr>
          <w:rFonts w:hint="eastAsia" w:eastAsia="等线"/>
          <w:b/>
          <w:bCs/>
          <w:i/>
          <w:iCs/>
          <w:sz w:val="20"/>
          <w:szCs w:val="20"/>
          <w:lang w:val="en-US" w:eastAsia="zh-CN"/>
        </w:rPr>
        <w:t>Proposal 4: If companies have different views on whether MDT can be supported for RedCap UE, LS can be sent to RAN2 to check the capability.</w:t>
      </w:r>
    </w:p>
    <w:p w14:paraId="6194A05B">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5: For the thresholds of relaxation criterion, legacy signaling can be reused, threshold value is up to network configuration.</w:t>
      </w:r>
    </w:p>
    <w:p w14:paraId="1A172E7F">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6: Reuse the legacy relaxation factor of TN R16 relaxation, which is 3 for UE only fulfill one of the relaxation criterion, and no requirement when both relaxation criterion are fulfilled.</w:t>
      </w:r>
    </w:p>
    <w:p w14:paraId="7ED3FB82">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default"/>
          <w:b/>
          <w:bCs/>
          <w:i/>
          <w:iCs/>
          <w:sz w:val="20"/>
          <w:szCs w:val="20"/>
          <w:lang w:val="en-US" w:eastAsia="zh-CN"/>
        </w:rPr>
      </w:pPr>
      <w:r>
        <w:rPr>
          <w:rFonts w:hint="eastAsia"/>
          <w:b/>
          <w:bCs/>
          <w:i/>
          <w:iCs/>
          <w:sz w:val="20"/>
          <w:szCs w:val="20"/>
          <w:lang w:val="en-US" w:eastAsia="zh-CN"/>
        </w:rPr>
        <w:t>Proposal 7: For earth-fixed LEO deployment, requirements are applicable for up to 5.12s eDRX cycle.</w:t>
      </w:r>
    </w:p>
    <w:p w14:paraId="5CDA3DA5">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8: Define the measurement requirement by using Alt1 for 2Rx Redcap UE, Alt2 for 1Rx Redcap UE.</w:t>
      </w:r>
    </w:p>
    <w:p w14:paraId="07AE6013">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b/>
          <w:bCs/>
          <w:i/>
          <w:iCs/>
          <w:sz w:val="20"/>
          <w:szCs w:val="20"/>
          <w:lang w:val="en-US" w:eastAsia="zh-CN"/>
        </w:rPr>
      </w:pPr>
      <w:r>
        <w:rPr>
          <w:rFonts w:hint="default"/>
          <w:b/>
          <w:bCs/>
          <w:i/>
          <w:iCs/>
          <w:sz w:val="20"/>
          <w:szCs w:val="20"/>
          <w:lang w:val="en-US" w:eastAsia="zh-CN"/>
        </w:rPr>
        <w:t>Alt1: Same as R17 NR-NTN, UE is capable of performing RRM measurements in parallel on at least 2 SMTCs with different offsets and same periodicity, optionally on 4 SMTCs. The requirements in 9.2C apply provided that the total number of measurement window offsets does not exceed the UE capability parallelSMTC-r17.</w:t>
      </w:r>
    </w:p>
    <w:p w14:paraId="1A2EEF3D">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b/>
          <w:bCs/>
          <w:i/>
          <w:iCs/>
          <w:sz w:val="20"/>
          <w:szCs w:val="20"/>
          <w:lang w:val="en-US" w:eastAsia="zh-CN"/>
        </w:rPr>
      </w:pPr>
      <w:r>
        <w:rPr>
          <w:rFonts w:hint="default"/>
          <w:b/>
          <w:bCs/>
          <w:i/>
          <w:iCs/>
          <w:sz w:val="20"/>
          <w:szCs w:val="20"/>
          <w:lang w:val="en-US" w:eastAsia="zh-CN"/>
        </w:rPr>
        <w:t xml:space="preserve">Alt2: UE is not capable of performing RRM measurements in parallel on multiple SMTCs. The requirements in 9.2C should be scaled by the number of </w:t>
      </w:r>
      <w:r>
        <w:rPr>
          <w:rFonts w:hint="eastAsia"/>
          <w:b/>
          <w:bCs/>
          <w:i/>
          <w:iCs/>
          <w:sz w:val="20"/>
          <w:szCs w:val="20"/>
          <w:lang w:val="en-US" w:eastAsia="zh-CN"/>
        </w:rPr>
        <w:t xml:space="preserve">X, X= min(UE supported number of SMTCs, number of </w:t>
      </w:r>
      <w:r>
        <w:rPr>
          <w:rFonts w:hint="default"/>
          <w:b/>
          <w:bCs/>
          <w:i/>
          <w:iCs/>
          <w:sz w:val="20"/>
          <w:szCs w:val="20"/>
          <w:lang w:val="en-US" w:eastAsia="zh-CN"/>
        </w:rPr>
        <w:t>SMTCs configured by the network</w:t>
      </w:r>
      <w:r>
        <w:rPr>
          <w:rFonts w:hint="eastAsia"/>
          <w:b/>
          <w:bCs/>
          <w:i/>
          <w:iCs/>
          <w:sz w:val="20"/>
          <w:szCs w:val="20"/>
          <w:lang w:val="en-US" w:eastAsia="zh-CN"/>
        </w:rPr>
        <w:t>)</w:t>
      </w:r>
      <w:r>
        <w:rPr>
          <w:rFonts w:hint="default"/>
          <w:b/>
          <w:bCs/>
          <w:i/>
          <w:iCs/>
          <w:sz w:val="20"/>
          <w:szCs w:val="20"/>
          <w:lang w:val="en-US" w:eastAsia="zh-CN"/>
        </w:rPr>
        <w:t>.</w:t>
      </w:r>
    </w:p>
    <w:p w14:paraId="54813ED9">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default"/>
          <w:b/>
          <w:bCs/>
          <w:i/>
          <w:iCs/>
          <w:sz w:val="20"/>
          <w:szCs w:val="20"/>
          <w:lang w:val="en-US" w:eastAsia="zh-CN"/>
        </w:rPr>
      </w:pPr>
      <w:r>
        <w:rPr>
          <w:rFonts w:hint="eastAsia"/>
          <w:b/>
          <w:bCs/>
          <w:i/>
          <w:iCs/>
          <w:sz w:val="20"/>
          <w:szCs w:val="20"/>
          <w:lang w:val="en-US" w:eastAsia="zh-CN"/>
        </w:rPr>
        <w:t xml:space="preserve">Proposal 9: For feature 25-2, 25-3 and 25-5, these capability can be optionally supported by (e)RedCap UEs with 2Rx, can not be supported by (e)RedCap UEs with 1Rx. </w:t>
      </w:r>
    </w:p>
    <w:p w14:paraId="388D0E62">
      <w:pPr>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Chars="0"/>
        <w:jc w:val="both"/>
        <w:textAlignment w:val="auto"/>
        <w:rPr>
          <w:rFonts w:hint="eastAsia"/>
          <w:b/>
          <w:bCs/>
          <w:i/>
          <w:iCs/>
          <w:sz w:val="20"/>
          <w:szCs w:val="20"/>
          <w:lang w:val="en-US" w:eastAsia="zh-CN"/>
        </w:rPr>
      </w:pPr>
      <w:r>
        <w:rPr>
          <w:rFonts w:hint="eastAsia"/>
          <w:b/>
          <w:bCs/>
          <w:i/>
          <w:iCs/>
          <w:sz w:val="20"/>
          <w:szCs w:val="20"/>
          <w:lang w:val="en-US" w:eastAsia="zh-CN"/>
        </w:rPr>
        <w:t>Proposal 10: For the number of target LEO satellites the UE can monitor per carrier including serving satellite, legacy UE capability (Feature 25-7) can be reused.</w:t>
      </w:r>
    </w:p>
    <w:p w14:paraId="09452B3C">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11: Define the CSSF for Redcap over NTN, the legacy CSSF for Redcap can be the baseline.</w:t>
      </w:r>
    </w:p>
    <w:p w14:paraId="497C2B23">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i/>
          <w:iCs/>
          <w:sz w:val="20"/>
          <w:szCs w:val="20"/>
          <w:highlight w:val="none"/>
          <w:u w:val="single"/>
          <w:lang w:val="en-US" w:eastAsia="zh-CN"/>
        </w:rPr>
      </w:pPr>
      <w:r>
        <w:rPr>
          <w:rFonts w:hint="eastAsia"/>
          <w:b/>
          <w:bCs/>
          <w:i/>
          <w:iCs/>
          <w:sz w:val="20"/>
          <w:szCs w:val="20"/>
          <w:lang w:val="en-US" w:eastAsia="zh-CN"/>
        </w:rPr>
        <w:t>Proposal 12: Use the terminology of SSB without differentiating CD-SSB/NCD-SSB, no need to add additional requirement applicability about CD-SSB/NCD-SSB.</w:t>
      </w:r>
    </w:p>
    <w:p w14:paraId="5D360C4D">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13: For the optional NTN features which have impact on RAN4 requirements, they can also be optionally supported by Redcap UE..</w:t>
      </w:r>
    </w:p>
    <w:p w14:paraId="48464446">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en-GB"/>
        </w:rPr>
      </w:pPr>
      <w:r>
        <w:rPr>
          <w:rFonts w:hint="eastAsia"/>
          <w:b/>
          <w:bCs/>
          <w:i/>
          <w:iCs/>
          <w:sz w:val="20"/>
          <w:szCs w:val="20"/>
          <w:lang w:val="en-US" w:eastAsia="en-GB"/>
        </w:rPr>
        <w:t>SMTC adjustment in idle/inactive</w:t>
      </w:r>
    </w:p>
    <w:p w14:paraId="58EA794F">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en-GB"/>
        </w:rPr>
      </w:pPr>
      <w:r>
        <w:rPr>
          <w:rFonts w:hint="eastAsia"/>
          <w:b/>
          <w:bCs/>
          <w:i/>
          <w:iCs/>
          <w:sz w:val="20"/>
          <w:szCs w:val="20"/>
          <w:lang w:val="en-US" w:eastAsia="en-GB"/>
        </w:rPr>
        <w:t>Location-based measurement report trigger</w:t>
      </w:r>
    </w:p>
    <w:p w14:paraId="3F261334">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Enhanced RRM requirements for measurements in IDLE and INACTIVE modes</w:t>
      </w:r>
    </w:p>
    <w:p w14:paraId="32130102">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14: Define enhanced cell reselection measurement requirement for RedCap UE not configured with eDRX_IDLE cycle, the requirement for normal UEs can be reused.</w:t>
      </w:r>
    </w:p>
    <w:p w14:paraId="1A201D3D">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 xml:space="preserve">Proposal 15: For inter-RAT E-UTRAN TN carrier cell re-selection measurement requirements,  reuse the </w:t>
      </w:r>
      <w:r>
        <w:rPr>
          <w:rFonts w:hint="eastAsia"/>
          <w:b/>
          <w:bCs/>
          <w:i/>
          <w:iCs/>
          <w:sz w:val="20"/>
          <w:szCs w:val="20"/>
          <w:lang w:val="en-US" w:eastAsia="en-US"/>
        </w:rPr>
        <w:t>legacy requirements defined for normal UEs</w:t>
      </w:r>
      <w:r>
        <w:rPr>
          <w:rFonts w:hint="eastAsia"/>
          <w:b/>
          <w:bCs/>
          <w:i/>
          <w:iCs/>
          <w:sz w:val="20"/>
          <w:szCs w:val="20"/>
          <w:lang w:val="en-US" w:eastAsia="zh-CN"/>
        </w:rPr>
        <w:t xml:space="preserve"> for (e)Redcap UE not configured with eDRX_IDLE cycle, reuse the Redcap Inter-RAT cell reselection requirement defined in TS 38.133 </w:t>
      </w:r>
      <w:r>
        <w:rPr>
          <w:rFonts w:hint="eastAsia"/>
          <w:b/>
          <w:bCs/>
          <w:i/>
          <w:iCs/>
          <w:sz w:val="20"/>
          <w:szCs w:val="20"/>
          <w:lang w:val="en-US" w:eastAsia="en-US"/>
        </w:rPr>
        <w:t>Table 4.2B.2.5-2</w:t>
      </w:r>
      <w:r>
        <w:rPr>
          <w:rFonts w:hint="eastAsia"/>
          <w:b/>
          <w:bCs/>
          <w:i/>
          <w:iCs/>
          <w:sz w:val="20"/>
          <w:szCs w:val="20"/>
          <w:lang w:val="en-US" w:eastAsia="zh-CN"/>
        </w:rPr>
        <w:t xml:space="preserve"> for (e)Redcap UE configured with eDRX_IDLE cycle.</w:t>
      </w:r>
    </w:p>
    <w:p w14:paraId="214EA70E">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b/>
          <w:bCs/>
          <w:i/>
          <w:iCs/>
          <w:sz w:val="20"/>
          <w:szCs w:val="16"/>
          <w:highlight w:val="none"/>
          <w:vertAlign w:val="subscript"/>
        </w:rPr>
      </w:pPr>
      <w:r>
        <w:rPr>
          <w:rFonts w:hint="eastAsia"/>
          <w:b/>
          <w:bCs/>
          <w:i/>
          <w:iCs/>
          <w:sz w:val="20"/>
          <w:szCs w:val="20"/>
          <w:highlight w:val="none"/>
          <w:lang w:val="en-US" w:eastAsia="zh-CN"/>
        </w:rPr>
        <w:t xml:space="preserve">Proposal 16: For hard satellite switching with re-sync requirement of </w:t>
      </w:r>
      <w:r>
        <w:rPr>
          <w:rFonts w:hint="eastAsia" w:eastAsiaTheme="minorEastAsia"/>
          <w:b/>
          <w:bCs/>
          <w:i/>
          <w:iCs/>
          <w:sz w:val="20"/>
          <w:szCs w:val="20"/>
          <w:highlight w:val="none"/>
          <w:lang w:val="en-GB" w:eastAsia="zh-CN"/>
        </w:rPr>
        <w:t>1</w:t>
      </w:r>
      <w:r>
        <w:rPr>
          <w:rFonts w:eastAsiaTheme="minorEastAsia"/>
          <w:b/>
          <w:bCs/>
          <w:i/>
          <w:iCs/>
          <w:sz w:val="20"/>
          <w:szCs w:val="20"/>
          <w:highlight w:val="none"/>
          <w:lang w:val="en-GB" w:eastAsia="zh-CN"/>
        </w:rPr>
        <w:t>Rx</w:t>
      </w:r>
      <w:r>
        <w:rPr>
          <w:rFonts w:hint="eastAsia" w:eastAsiaTheme="minorEastAsia"/>
          <w:b/>
          <w:bCs/>
          <w:i/>
          <w:iCs/>
          <w:sz w:val="20"/>
          <w:szCs w:val="20"/>
          <w:highlight w:val="none"/>
          <w:lang w:val="en-GB" w:eastAsia="zh-CN"/>
        </w:rPr>
        <w:t xml:space="preserve"> </w:t>
      </w:r>
      <w:r>
        <w:rPr>
          <w:rFonts w:eastAsiaTheme="minorEastAsia"/>
          <w:b/>
          <w:bCs/>
          <w:i/>
          <w:iCs/>
          <w:sz w:val="20"/>
          <w:szCs w:val="20"/>
          <w:highlight w:val="none"/>
          <w:lang w:val="en-GB" w:eastAsia="zh-CN"/>
        </w:rPr>
        <w:t>(e)RedCap UEs</w:t>
      </w:r>
      <w:r>
        <w:rPr>
          <w:rFonts w:hint="eastAsia"/>
          <w:b/>
          <w:bCs/>
          <w:i/>
          <w:iCs/>
          <w:sz w:val="20"/>
          <w:szCs w:val="20"/>
          <w:highlight w:val="none"/>
          <w:lang w:val="en-US" w:eastAsia="zh-CN"/>
        </w:rPr>
        <w:t xml:space="preserve">, </w:t>
      </w:r>
      <w:r>
        <w:rPr>
          <w:rFonts w:hint="eastAsia" w:eastAsia="等线"/>
          <w:b/>
          <w:bCs/>
          <w:i/>
          <w:iCs/>
          <w:sz w:val="20"/>
          <w:szCs w:val="16"/>
          <w:highlight w:val="none"/>
          <w:lang w:val="en-US" w:eastAsia="zh-CN"/>
        </w:rPr>
        <w:t>d</w:t>
      </w:r>
      <w:r>
        <w:rPr>
          <w:rFonts w:eastAsia="等线"/>
          <w:b/>
          <w:bCs/>
          <w:i/>
          <w:iCs/>
          <w:sz w:val="20"/>
          <w:szCs w:val="16"/>
          <w:highlight w:val="none"/>
        </w:rPr>
        <w:t>efine the relaxation on T</w:t>
      </w:r>
      <w:r>
        <w:rPr>
          <w:rFonts w:eastAsia="等线"/>
          <w:b/>
          <w:bCs/>
          <w:i/>
          <w:iCs/>
          <w:sz w:val="20"/>
          <w:szCs w:val="16"/>
          <w:highlight w:val="none"/>
          <w:vertAlign w:val="subscript"/>
        </w:rPr>
        <w:t>search</w:t>
      </w:r>
      <w:r>
        <w:rPr>
          <w:b/>
          <w:bCs/>
          <w:i/>
          <w:iCs/>
          <w:sz w:val="20"/>
          <w:szCs w:val="16"/>
          <w:highlight w:val="none"/>
        </w:rPr>
        <w:t xml:space="preserve"> by extending one more SSB</w:t>
      </w:r>
      <w:r>
        <w:rPr>
          <w:rFonts w:hint="eastAsia"/>
          <w:b/>
          <w:bCs/>
          <w:i/>
          <w:iCs/>
          <w:sz w:val="20"/>
          <w:szCs w:val="16"/>
          <w:highlight w:val="none"/>
          <w:lang w:val="en-US" w:eastAsia="zh-CN"/>
        </w:rPr>
        <w:t xml:space="preserve"> </w:t>
      </w:r>
      <w:r>
        <w:rPr>
          <w:b/>
          <w:bCs/>
          <w:i/>
          <w:iCs/>
          <w:sz w:val="20"/>
          <w:szCs w:val="16"/>
          <w:highlight w:val="none"/>
        </w:rPr>
        <w:t>periodicity on the top of T</w:t>
      </w:r>
      <w:r>
        <w:rPr>
          <w:b/>
          <w:bCs/>
          <w:i/>
          <w:iCs/>
          <w:sz w:val="20"/>
          <w:szCs w:val="16"/>
          <w:highlight w:val="none"/>
          <w:vertAlign w:val="subscript"/>
        </w:rPr>
        <w:t>first_SSB</w:t>
      </w:r>
    </w:p>
    <w:p w14:paraId="4ED9A921">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i/>
          <w:iCs/>
          <w:sz w:val="20"/>
          <w:szCs w:val="20"/>
          <w:highlight w:val="none"/>
          <w:u w:val="single"/>
          <w:lang w:val="en-US" w:eastAsia="ko-KR"/>
        </w:rPr>
      </w:pPr>
      <w:r>
        <w:rPr>
          <w:rFonts w:hint="eastAsia"/>
          <w:b/>
          <w:bCs/>
          <w:i/>
          <w:iCs/>
          <w:sz w:val="20"/>
          <w:szCs w:val="20"/>
          <w:highlight w:val="none"/>
          <w:lang w:val="en-US" w:eastAsia="zh-CN"/>
        </w:rPr>
        <w:t xml:space="preserve">Proposal 17: Define soft satellite switching with re-sync requirement of </w:t>
      </w:r>
      <w:r>
        <w:rPr>
          <w:rFonts w:hint="eastAsia" w:eastAsiaTheme="minorEastAsia"/>
          <w:b/>
          <w:bCs/>
          <w:i/>
          <w:iCs/>
          <w:sz w:val="20"/>
          <w:szCs w:val="20"/>
          <w:highlight w:val="none"/>
          <w:lang w:val="en-GB" w:eastAsia="zh-CN"/>
        </w:rPr>
        <w:t>1</w:t>
      </w:r>
      <w:r>
        <w:rPr>
          <w:rFonts w:eastAsiaTheme="minorEastAsia"/>
          <w:b/>
          <w:bCs/>
          <w:i/>
          <w:iCs/>
          <w:sz w:val="20"/>
          <w:szCs w:val="20"/>
          <w:highlight w:val="none"/>
          <w:lang w:val="en-GB" w:eastAsia="zh-CN"/>
        </w:rPr>
        <w:t>Rx</w:t>
      </w:r>
      <w:r>
        <w:rPr>
          <w:rFonts w:hint="eastAsia" w:eastAsiaTheme="minorEastAsia"/>
          <w:b/>
          <w:bCs/>
          <w:i/>
          <w:iCs/>
          <w:sz w:val="20"/>
          <w:szCs w:val="20"/>
          <w:highlight w:val="none"/>
          <w:lang w:val="en-GB" w:eastAsia="zh-CN"/>
        </w:rPr>
        <w:t xml:space="preserve"> </w:t>
      </w:r>
      <w:r>
        <w:rPr>
          <w:rFonts w:eastAsiaTheme="minorEastAsia"/>
          <w:b/>
          <w:bCs/>
          <w:i/>
          <w:iCs/>
          <w:sz w:val="20"/>
          <w:szCs w:val="20"/>
          <w:highlight w:val="none"/>
          <w:lang w:val="en-GB" w:eastAsia="zh-CN"/>
        </w:rPr>
        <w:t>(e)RedCap UEs</w:t>
      </w:r>
      <w:r>
        <w:rPr>
          <w:rFonts w:hint="eastAsia"/>
          <w:b/>
          <w:bCs/>
          <w:i/>
          <w:iCs/>
          <w:sz w:val="20"/>
          <w:szCs w:val="20"/>
          <w:highlight w:val="none"/>
          <w:lang w:val="en-US" w:eastAsia="zh-CN"/>
        </w:rPr>
        <w:t xml:space="preserve">, </w:t>
      </w:r>
      <w:r>
        <w:rPr>
          <w:rFonts w:hint="eastAsia" w:eastAsia="等线"/>
          <w:b/>
          <w:bCs/>
          <w:i/>
          <w:iCs/>
          <w:sz w:val="20"/>
          <w:szCs w:val="16"/>
          <w:highlight w:val="none"/>
          <w:lang w:val="en-US" w:eastAsia="zh-CN"/>
        </w:rPr>
        <w:t>d</w:t>
      </w:r>
      <w:r>
        <w:rPr>
          <w:rFonts w:eastAsia="等线"/>
          <w:b/>
          <w:bCs/>
          <w:i/>
          <w:iCs/>
          <w:sz w:val="20"/>
          <w:szCs w:val="16"/>
          <w:highlight w:val="none"/>
        </w:rPr>
        <w:t>efine the relaxation on T</w:t>
      </w:r>
      <w:r>
        <w:rPr>
          <w:rFonts w:eastAsia="等线"/>
          <w:b/>
          <w:bCs/>
          <w:i/>
          <w:iCs/>
          <w:sz w:val="20"/>
          <w:szCs w:val="16"/>
          <w:highlight w:val="none"/>
          <w:vertAlign w:val="subscript"/>
        </w:rPr>
        <w:t>search</w:t>
      </w:r>
      <w:r>
        <w:rPr>
          <w:b/>
          <w:bCs/>
          <w:i/>
          <w:iCs/>
          <w:sz w:val="20"/>
          <w:szCs w:val="16"/>
          <w:highlight w:val="none"/>
        </w:rPr>
        <w:t xml:space="preserve"> by extending one more SSB</w:t>
      </w:r>
      <w:r>
        <w:rPr>
          <w:rFonts w:hint="eastAsia"/>
          <w:b/>
          <w:bCs/>
          <w:i/>
          <w:iCs/>
          <w:sz w:val="20"/>
          <w:szCs w:val="16"/>
          <w:highlight w:val="none"/>
          <w:lang w:val="en-US" w:eastAsia="zh-CN"/>
        </w:rPr>
        <w:t xml:space="preserve"> </w:t>
      </w:r>
      <w:r>
        <w:rPr>
          <w:b/>
          <w:bCs/>
          <w:i/>
          <w:iCs/>
          <w:sz w:val="20"/>
          <w:szCs w:val="16"/>
          <w:highlight w:val="none"/>
        </w:rPr>
        <w:t>periodicity on the top of T</w:t>
      </w:r>
      <w:r>
        <w:rPr>
          <w:b/>
          <w:bCs/>
          <w:i/>
          <w:iCs/>
          <w:sz w:val="20"/>
          <w:szCs w:val="16"/>
          <w:highlight w:val="none"/>
          <w:vertAlign w:val="subscript"/>
        </w:rPr>
        <w:t>first_SSB</w:t>
      </w:r>
    </w:p>
    <w:p w14:paraId="0EBF0DF0">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18: For measurement requirements RRC_CONNECTED mode, except the impact from some optional features which haven’t discussed or agreed so far, for instance, parallel measurements on cells belonging to a different NGSO satellite than a serving satellite without scheduling restrictions on normal operations with the serving cell, and Parallel measurements on multiple NGSO satellites within a SMTC, support the way forward from RAN4#112bis meeting.</w:t>
      </w:r>
    </w:p>
    <w:p w14:paraId="0F5968F2">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19: For measurement accuracy requirement, support the way forward from RAN4#112bis meeting.</w:t>
      </w:r>
    </w:p>
    <w:p w14:paraId="0B745BF1">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20: Same principle for HD-FDD (e)RedCap UE in TN network will be followed as baseline.</w:t>
      </w:r>
    </w:p>
    <w:p w14:paraId="7616014A">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21: For RACH-based HO, RACH-less HO, Time/location-based CHO without L3 measurement and Satellite switching with re-synchronization, following applicability rules to adapt HD-FDD case should be added:</w:t>
      </w:r>
    </w:p>
    <w:p w14:paraId="6F0CA638">
      <w:pPr>
        <w:keepNext w:val="0"/>
        <w:keepLines w:val="0"/>
        <w:pageBreakBefore w:val="0"/>
        <w:widowControl/>
        <w:numPr>
          <w:ilvl w:val="3"/>
          <w:numId w:val="0"/>
        </w:numPr>
        <w:kinsoku/>
        <w:wordWrap/>
        <w:overflowPunct/>
        <w:topLinePunct w:val="0"/>
        <w:autoSpaceDE/>
        <w:autoSpaceDN/>
        <w:bidi w:val="0"/>
        <w:adjustRightInd/>
        <w:snapToGrid/>
        <w:ind w:leftChars="200"/>
        <w:contextualSpacing w:val="0"/>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 xml:space="preserve">For RedCap NTN UE with HD-FDD, the requirements are met provided that </w:t>
      </w:r>
    </w:p>
    <w:p w14:paraId="0D43C80A">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SSB is available at the UE once every SMTC period during T</w:t>
      </w:r>
      <w:r>
        <w:rPr>
          <w:rFonts w:ascii="Times New Roman" w:hAnsi="Times New Roman" w:eastAsia="宋体" w:cs="Times New Roman"/>
          <w:b/>
          <w:bCs/>
          <w:i/>
          <w:iCs/>
          <w:sz w:val="20"/>
          <w:szCs w:val="20"/>
          <w:vertAlign w:val="subscript"/>
          <w:lang w:val="en-US" w:eastAsia="en-US" w:bidi="ar-SA"/>
        </w:rPr>
        <w:t>search</w:t>
      </w:r>
    </w:p>
    <w:p w14:paraId="121574E5">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w:t>
      </w:r>
    </w:p>
    <w:p w14:paraId="5BCE1DE5">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IU</w:t>
      </w:r>
      <w:r>
        <w:rPr>
          <w:rFonts w:ascii="Times New Roman" w:hAnsi="Times New Roman" w:eastAsia="宋体" w:cs="Times New Roman"/>
          <w:b/>
          <w:bCs/>
          <w:i/>
          <w:iCs/>
          <w:sz w:val="20"/>
          <w:szCs w:val="20"/>
          <w:lang w:val="en-US" w:eastAsia="en-US" w:bidi="ar-SA"/>
        </w:rPr>
        <w:t>.</w:t>
      </w:r>
    </w:p>
    <w:p w14:paraId="54937FEC">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22: For Time/location-based CHO with L3 measurement, following applicability rules to adapt HD-FDD case should be added:</w:t>
      </w:r>
    </w:p>
    <w:p w14:paraId="5B1243B0">
      <w:pPr>
        <w:keepNext w:val="0"/>
        <w:keepLines w:val="0"/>
        <w:pageBreakBefore w:val="0"/>
        <w:widowControl/>
        <w:numPr>
          <w:ilvl w:val="3"/>
          <w:numId w:val="0"/>
        </w:numPr>
        <w:kinsoku/>
        <w:wordWrap/>
        <w:overflowPunct/>
        <w:topLinePunct w:val="0"/>
        <w:autoSpaceDE/>
        <w:autoSpaceDN/>
        <w:bidi w:val="0"/>
        <w:adjustRightInd/>
        <w:snapToGrid/>
        <w:ind w:leftChars="200"/>
        <w:contextualSpacing w:val="0"/>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 xml:space="preserve">For RedCap NTN UE with HD-FDD, the requirements are met provided that </w:t>
      </w:r>
    </w:p>
    <w:p w14:paraId="14EE3807">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w:t>
      </w:r>
    </w:p>
    <w:p w14:paraId="4A0F0B54">
      <w:pPr>
        <w:keepNext w:val="0"/>
        <w:keepLines w:val="0"/>
        <w:pageBreakBefore w:val="0"/>
        <w:widowControl/>
        <w:numPr>
          <w:ilvl w:val="4"/>
          <w:numId w:val="6"/>
        </w:numPr>
        <w:kinsoku/>
        <w:wordWrap/>
        <w:overflowPunct/>
        <w:topLinePunct w:val="0"/>
        <w:autoSpaceDE/>
        <w:autoSpaceDN/>
        <w:bidi w:val="0"/>
        <w:adjustRightInd/>
        <w:snapToGrid/>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IU</w:t>
      </w:r>
    </w:p>
    <w:p w14:paraId="171D9880">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eastAsiaTheme="minorEastAsia"/>
          <w:b/>
          <w:bCs/>
          <w:i/>
          <w:iCs/>
          <w:sz w:val="20"/>
          <w:szCs w:val="20"/>
          <w:lang w:val="en-US" w:eastAsia="zh-CN"/>
        </w:rPr>
      </w:pPr>
      <w:r>
        <w:rPr>
          <w:rFonts w:hint="eastAsia"/>
          <w:b/>
          <w:bCs/>
          <w:i/>
          <w:iCs/>
          <w:sz w:val="20"/>
          <w:szCs w:val="20"/>
          <w:lang w:val="en-US" w:eastAsia="zh-CN"/>
        </w:rPr>
        <w:t>Proposal 23: D</w:t>
      </w:r>
      <w:r>
        <w:rPr>
          <w:rFonts w:hint="eastAsia"/>
          <w:b/>
          <w:bCs/>
          <w:i/>
          <w:iCs/>
          <w:sz w:val="20"/>
          <w:szCs w:val="20"/>
          <w:lang w:val="en-US" w:eastAsia="en-US"/>
        </w:rPr>
        <w:t>eclare the capabilities for (e)RedCap UE with FR1-NTN bands</w:t>
      </w:r>
      <w:r>
        <w:rPr>
          <w:rFonts w:hint="eastAsia"/>
          <w:b/>
          <w:bCs/>
          <w:i/>
          <w:iCs/>
          <w:sz w:val="20"/>
          <w:szCs w:val="20"/>
          <w:lang w:val="en-US" w:eastAsia="zh-CN"/>
        </w:rPr>
        <w:t xml:space="preserve"> through implicitly by declaring </w:t>
      </w:r>
      <w:r>
        <w:rPr>
          <w:rFonts w:hint="eastAsia"/>
          <w:b/>
          <w:bCs/>
          <w:i/>
          <w:iCs/>
          <w:sz w:val="20"/>
          <w:szCs w:val="20"/>
          <w:lang w:val="en-US" w:eastAsia="en-US"/>
        </w:rPr>
        <w:t xml:space="preserve">support of RedCap (supportOfRedCap-r17 or supportOfERedCap-r18) </w:t>
      </w:r>
      <w:r>
        <w:rPr>
          <w:rFonts w:hint="eastAsia"/>
          <w:b/>
          <w:bCs/>
          <w:i/>
          <w:iCs/>
          <w:sz w:val="20"/>
          <w:szCs w:val="20"/>
          <w:lang w:val="en-US" w:eastAsia="zh-CN"/>
        </w:rPr>
        <w:t>and</w:t>
      </w:r>
      <w:r>
        <w:rPr>
          <w:rFonts w:hint="eastAsia"/>
          <w:b/>
          <w:bCs/>
          <w:i/>
          <w:iCs/>
          <w:sz w:val="20"/>
          <w:szCs w:val="20"/>
          <w:lang w:val="en-US" w:eastAsia="en-US"/>
        </w:rPr>
        <w:t xml:space="preserve"> support of NTN (nonTerrestrialNetwork-r17)</w:t>
      </w:r>
      <w:r>
        <w:rPr>
          <w:rFonts w:hint="eastAsia"/>
          <w:b/>
          <w:bCs/>
          <w:i/>
          <w:iCs/>
          <w:sz w:val="20"/>
          <w:szCs w:val="20"/>
          <w:lang w:val="en-US" w:eastAsia="zh-CN"/>
        </w:rPr>
        <w:t>.</w:t>
      </w:r>
    </w:p>
    <w:p w14:paraId="7C422AA0">
      <w:pPr>
        <w:keepNext w:val="0"/>
        <w:keepLines w:val="0"/>
        <w:pageBreakBefore w:val="0"/>
        <w:widowControl/>
        <w:numPr>
          <w:ilvl w:val="0"/>
          <w:numId w:val="0"/>
        </w:numPr>
        <w:kinsoku/>
        <w:wordWrap/>
        <w:overflowPunct/>
        <w:topLinePunct w:val="0"/>
        <w:autoSpaceDE/>
        <w:autoSpaceDN/>
        <w:bidi w:val="0"/>
        <w:adjustRightInd/>
        <w:snapToGrid/>
        <w:contextualSpacing/>
        <w:textAlignment w:val="auto"/>
        <w:rPr>
          <w:rFonts w:ascii="Times New Roman" w:hAnsi="Times New Roman" w:eastAsia="宋体" w:cs="Times New Roman"/>
          <w:b/>
          <w:bCs/>
          <w:i/>
          <w:iCs/>
          <w:sz w:val="20"/>
          <w:szCs w:val="20"/>
          <w:lang w:val="en-US" w:eastAsia="en-US" w:bidi="ar-SA"/>
        </w:rPr>
      </w:pPr>
    </w:p>
    <w:p w14:paraId="70213217">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1B4AD75">
      <w:pPr>
        <w:numPr>
          <w:ilvl w:val="0"/>
          <w:numId w:val="9"/>
        </w:numPr>
        <w:rPr>
          <w:rFonts w:hint="default" w:eastAsiaTheme="minorEastAsia"/>
          <w:sz w:val="20"/>
          <w:szCs w:val="20"/>
          <w:lang w:val="en-US" w:eastAsia="zh-CN"/>
        </w:rPr>
      </w:pPr>
      <w:r>
        <w:rPr>
          <w:rFonts w:hint="eastAsia"/>
          <w:sz w:val="20"/>
          <w:szCs w:val="20"/>
          <w:lang w:val="en-US" w:eastAsia="zh-CN"/>
        </w:rPr>
        <w:t>R4-2420104, WF on RRM requirements for NR_NTN_Ph3_Part1, Moderator (CATT)</w:t>
      </w:r>
    </w:p>
    <w:sectPr>
      <w:pgSz w:w="11900" w:h="16840"/>
      <w:pgMar w:top="1134" w:right="1417"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Yu Mincho">
    <w:altName w:val="MS 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DDA047"/>
    <w:multiLevelType w:val="multilevel"/>
    <w:tmpl w:val="05DDA047"/>
    <w:lvl w:ilvl="0" w:tentative="0">
      <w:start w:val="1"/>
      <w:numFmt w:val="bullet"/>
      <w:lvlText w:val=""/>
      <w:lvlJc w:val="left"/>
      <w:pPr>
        <w:tabs>
          <w:tab w:val="left" w:pos="134"/>
        </w:tabs>
        <w:ind w:left="134" w:leftChars="0" w:hanging="134"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lang w:val="en-US"/>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6">
    <w:nsid w:val="71A62EB7"/>
    <w:multiLevelType w:val="multilevel"/>
    <w:tmpl w:val="71A62EB7"/>
    <w:lvl w:ilvl="0" w:tentative="0">
      <w:start w:val="1"/>
      <w:numFmt w:val="bullet"/>
      <w:lvlText w:val=""/>
      <w:lvlJc w:val="left"/>
      <w:pPr>
        <w:ind w:left="1159" w:hanging="360"/>
      </w:pPr>
      <w:rPr>
        <w:rFonts w:hint="default" w:ascii="Symbol" w:hAnsi="Symbol"/>
      </w:rPr>
    </w:lvl>
    <w:lvl w:ilvl="1" w:tentative="0">
      <w:start w:val="1"/>
      <w:numFmt w:val="bullet"/>
      <w:lvlText w:val="o"/>
      <w:lvlJc w:val="left"/>
      <w:pPr>
        <w:ind w:left="1879" w:hanging="360"/>
      </w:pPr>
      <w:rPr>
        <w:rFonts w:hint="default" w:ascii="Courier New" w:hAnsi="Courier New" w:cs="Courier New"/>
      </w:rPr>
    </w:lvl>
    <w:lvl w:ilvl="2" w:tentative="0">
      <w:start w:val="1"/>
      <w:numFmt w:val="bullet"/>
      <w:lvlText w:val=""/>
      <w:lvlJc w:val="left"/>
      <w:pPr>
        <w:ind w:left="2599" w:hanging="360"/>
      </w:pPr>
      <w:rPr>
        <w:rFonts w:hint="default" w:ascii="Wingdings" w:hAnsi="Wingdings"/>
      </w:rPr>
    </w:lvl>
    <w:lvl w:ilvl="3" w:tentative="0">
      <w:start w:val="1"/>
      <w:numFmt w:val="bullet"/>
      <w:lvlText w:val=""/>
      <w:lvlJc w:val="left"/>
      <w:pPr>
        <w:ind w:left="3319" w:hanging="360"/>
      </w:pPr>
      <w:rPr>
        <w:rFonts w:hint="default" w:ascii="Symbol" w:hAnsi="Symbol"/>
      </w:rPr>
    </w:lvl>
    <w:lvl w:ilvl="4" w:tentative="0">
      <w:start w:val="1"/>
      <w:numFmt w:val="bullet"/>
      <w:lvlText w:val="o"/>
      <w:lvlJc w:val="left"/>
      <w:pPr>
        <w:ind w:left="4039" w:hanging="360"/>
      </w:pPr>
      <w:rPr>
        <w:rFonts w:hint="default" w:ascii="Courier New" w:hAnsi="Courier New" w:cs="Courier New"/>
      </w:rPr>
    </w:lvl>
    <w:lvl w:ilvl="5" w:tentative="0">
      <w:start w:val="1"/>
      <w:numFmt w:val="bullet"/>
      <w:lvlText w:val=""/>
      <w:lvlJc w:val="left"/>
      <w:pPr>
        <w:ind w:left="4759" w:hanging="360"/>
      </w:pPr>
      <w:rPr>
        <w:rFonts w:hint="default" w:ascii="Wingdings" w:hAnsi="Wingdings"/>
      </w:rPr>
    </w:lvl>
    <w:lvl w:ilvl="6" w:tentative="0">
      <w:start w:val="1"/>
      <w:numFmt w:val="bullet"/>
      <w:lvlText w:val=""/>
      <w:lvlJc w:val="left"/>
      <w:pPr>
        <w:ind w:left="5479" w:hanging="360"/>
      </w:pPr>
      <w:rPr>
        <w:rFonts w:hint="default" w:ascii="Symbol" w:hAnsi="Symbol"/>
      </w:rPr>
    </w:lvl>
    <w:lvl w:ilvl="7" w:tentative="0">
      <w:start w:val="1"/>
      <w:numFmt w:val="bullet"/>
      <w:lvlText w:val="o"/>
      <w:lvlJc w:val="left"/>
      <w:pPr>
        <w:ind w:left="6199" w:hanging="360"/>
      </w:pPr>
      <w:rPr>
        <w:rFonts w:hint="default" w:ascii="Courier New" w:hAnsi="Courier New" w:cs="Courier New"/>
      </w:rPr>
    </w:lvl>
    <w:lvl w:ilvl="8" w:tentative="0">
      <w:start w:val="1"/>
      <w:numFmt w:val="bullet"/>
      <w:lvlText w:val=""/>
      <w:lvlJc w:val="left"/>
      <w:pPr>
        <w:ind w:left="6919"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9EE624D"/>
    <w:multiLevelType w:val="singleLevel"/>
    <w:tmpl w:val="79EE624D"/>
    <w:lvl w:ilvl="0" w:tentative="0">
      <w:start w:val="1"/>
      <w:numFmt w:val="decimal"/>
      <w:suff w:val="space"/>
      <w:lvlText w:val="[%1]"/>
      <w:lvlJc w:val="left"/>
    </w:lvl>
  </w:abstractNum>
  <w:num w:numId="1">
    <w:abstractNumId w:val="7"/>
  </w:num>
  <w:num w:numId="2">
    <w:abstractNumId w:val="4"/>
  </w:num>
  <w:num w:numId="3">
    <w:abstractNumId w:val="2"/>
  </w:num>
  <w:num w:numId="4">
    <w:abstractNumId w:val="5"/>
  </w:num>
  <w:num w:numId="5">
    <w:abstractNumId w:val="1"/>
  </w:num>
  <w:num w:numId="6">
    <w:abstractNumId w:val="3"/>
  </w:num>
  <w:num w:numId="7">
    <w:abstractNumId w:val="0"/>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59B"/>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80A"/>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437C9C"/>
    <w:rsid w:val="0157185C"/>
    <w:rsid w:val="02BB15E8"/>
    <w:rsid w:val="02CD6222"/>
    <w:rsid w:val="0301309F"/>
    <w:rsid w:val="0308283B"/>
    <w:rsid w:val="032875BA"/>
    <w:rsid w:val="035A658E"/>
    <w:rsid w:val="03FF761E"/>
    <w:rsid w:val="04027B7C"/>
    <w:rsid w:val="04270E0A"/>
    <w:rsid w:val="04440527"/>
    <w:rsid w:val="04DB75FA"/>
    <w:rsid w:val="04DC77BE"/>
    <w:rsid w:val="04F14AC0"/>
    <w:rsid w:val="05A920F6"/>
    <w:rsid w:val="05CF2BA5"/>
    <w:rsid w:val="05E842A2"/>
    <w:rsid w:val="061C4A75"/>
    <w:rsid w:val="06830D33"/>
    <w:rsid w:val="07B91BA9"/>
    <w:rsid w:val="07E3754D"/>
    <w:rsid w:val="087215FB"/>
    <w:rsid w:val="09301679"/>
    <w:rsid w:val="09380145"/>
    <w:rsid w:val="098E414D"/>
    <w:rsid w:val="0A002B8F"/>
    <w:rsid w:val="0A2516E8"/>
    <w:rsid w:val="0A2F10B0"/>
    <w:rsid w:val="0A314183"/>
    <w:rsid w:val="0A512B65"/>
    <w:rsid w:val="0A613B9D"/>
    <w:rsid w:val="0A6E4719"/>
    <w:rsid w:val="0AB1352C"/>
    <w:rsid w:val="0B1810CB"/>
    <w:rsid w:val="0B3C6892"/>
    <w:rsid w:val="0B4D1804"/>
    <w:rsid w:val="0B4E364B"/>
    <w:rsid w:val="0BC169A8"/>
    <w:rsid w:val="0BFD3FEE"/>
    <w:rsid w:val="0BFE43A0"/>
    <w:rsid w:val="0C34713B"/>
    <w:rsid w:val="0C6A2398"/>
    <w:rsid w:val="0D11391B"/>
    <w:rsid w:val="0D6D742F"/>
    <w:rsid w:val="0D7B07A7"/>
    <w:rsid w:val="0DB01D4D"/>
    <w:rsid w:val="0E115F02"/>
    <w:rsid w:val="0E1E058B"/>
    <w:rsid w:val="0E6C3CB3"/>
    <w:rsid w:val="0E723D6F"/>
    <w:rsid w:val="0EA0635C"/>
    <w:rsid w:val="0EB73522"/>
    <w:rsid w:val="0EC601AB"/>
    <w:rsid w:val="0F2A17EF"/>
    <w:rsid w:val="103877B0"/>
    <w:rsid w:val="10C74B9A"/>
    <w:rsid w:val="10FD15E1"/>
    <w:rsid w:val="11157AC0"/>
    <w:rsid w:val="11410433"/>
    <w:rsid w:val="114C2E03"/>
    <w:rsid w:val="11502A3C"/>
    <w:rsid w:val="116206E1"/>
    <w:rsid w:val="11E74B6B"/>
    <w:rsid w:val="12CC1965"/>
    <w:rsid w:val="135D091C"/>
    <w:rsid w:val="137462B3"/>
    <w:rsid w:val="1381490C"/>
    <w:rsid w:val="144E60BA"/>
    <w:rsid w:val="14704788"/>
    <w:rsid w:val="15321084"/>
    <w:rsid w:val="155A08C9"/>
    <w:rsid w:val="16E2462A"/>
    <w:rsid w:val="16F963FC"/>
    <w:rsid w:val="17F40229"/>
    <w:rsid w:val="17F76EF9"/>
    <w:rsid w:val="18572D14"/>
    <w:rsid w:val="19166C11"/>
    <w:rsid w:val="19684D1A"/>
    <w:rsid w:val="199268D2"/>
    <w:rsid w:val="19A32242"/>
    <w:rsid w:val="19AE4C3C"/>
    <w:rsid w:val="19E84EE7"/>
    <w:rsid w:val="1A337C08"/>
    <w:rsid w:val="1A693185"/>
    <w:rsid w:val="1AE9076D"/>
    <w:rsid w:val="1B08792E"/>
    <w:rsid w:val="1B6524AD"/>
    <w:rsid w:val="1B846519"/>
    <w:rsid w:val="1C045BB5"/>
    <w:rsid w:val="1C28484F"/>
    <w:rsid w:val="1C501E46"/>
    <w:rsid w:val="1CE6214B"/>
    <w:rsid w:val="1D482986"/>
    <w:rsid w:val="1D530466"/>
    <w:rsid w:val="1DFA1A6E"/>
    <w:rsid w:val="1E1E7279"/>
    <w:rsid w:val="1E727913"/>
    <w:rsid w:val="1EBC4909"/>
    <w:rsid w:val="1F161C13"/>
    <w:rsid w:val="1FC30CF0"/>
    <w:rsid w:val="20251BCD"/>
    <w:rsid w:val="203F5164"/>
    <w:rsid w:val="20577E1E"/>
    <w:rsid w:val="20741BCD"/>
    <w:rsid w:val="21812D83"/>
    <w:rsid w:val="21E6327B"/>
    <w:rsid w:val="220A3DCE"/>
    <w:rsid w:val="226278E6"/>
    <w:rsid w:val="228679ED"/>
    <w:rsid w:val="2297614E"/>
    <w:rsid w:val="22CD4739"/>
    <w:rsid w:val="22DF4B25"/>
    <w:rsid w:val="235D321D"/>
    <w:rsid w:val="23A0131E"/>
    <w:rsid w:val="23F24A71"/>
    <w:rsid w:val="2453420A"/>
    <w:rsid w:val="24657273"/>
    <w:rsid w:val="25B0630F"/>
    <w:rsid w:val="25C62A88"/>
    <w:rsid w:val="260E7FC9"/>
    <w:rsid w:val="264F651F"/>
    <w:rsid w:val="26AB5CAA"/>
    <w:rsid w:val="26BF4B3C"/>
    <w:rsid w:val="270343AF"/>
    <w:rsid w:val="275238E8"/>
    <w:rsid w:val="27885E9A"/>
    <w:rsid w:val="27A9199E"/>
    <w:rsid w:val="27C37418"/>
    <w:rsid w:val="27E70AD2"/>
    <w:rsid w:val="282B4205"/>
    <w:rsid w:val="28340C68"/>
    <w:rsid w:val="28E63708"/>
    <w:rsid w:val="2903193C"/>
    <w:rsid w:val="293A0182"/>
    <w:rsid w:val="29AE1EEB"/>
    <w:rsid w:val="29B87E90"/>
    <w:rsid w:val="29F41202"/>
    <w:rsid w:val="2A1C7136"/>
    <w:rsid w:val="2A52567F"/>
    <w:rsid w:val="2A9860D6"/>
    <w:rsid w:val="2AD63ADB"/>
    <w:rsid w:val="2AF84813"/>
    <w:rsid w:val="2B2D51E0"/>
    <w:rsid w:val="2CCE420F"/>
    <w:rsid w:val="2D3C0CBF"/>
    <w:rsid w:val="2D480610"/>
    <w:rsid w:val="2DFC7047"/>
    <w:rsid w:val="2E177608"/>
    <w:rsid w:val="2E285745"/>
    <w:rsid w:val="2E3C798B"/>
    <w:rsid w:val="2E954754"/>
    <w:rsid w:val="2EBB7CD6"/>
    <w:rsid w:val="2ECD6A4D"/>
    <w:rsid w:val="2F1F43E1"/>
    <w:rsid w:val="2F28060A"/>
    <w:rsid w:val="2F8831C0"/>
    <w:rsid w:val="2FF748E5"/>
    <w:rsid w:val="300B5909"/>
    <w:rsid w:val="302A3B16"/>
    <w:rsid w:val="30B631AE"/>
    <w:rsid w:val="30CD41B2"/>
    <w:rsid w:val="311C418B"/>
    <w:rsid w:val="312A6EA1"/>
    <w:rsid w:val="314F1B30"/>
    <w:rsid w:val="31686321"/>
    <w:rsid w:val="33106379"/>
    <w:rsid w:val="33417212"/>
    <w:rsid w:val="337A5602"/>
    <w:rsid w:val="33867DCA"/>
    <w:rsid w:val="33870849"/>
    <w:rsid w:val="339A6C60"/>
    <w:rsid w:val="33A629ED"/>
    <w:rsid w:val="33C33478"/>
    <w:rsid w:val="33CE3940"/>
    <w:rsid w:val="33E2308C"/>
    <w:rsid w:val="33FE13A0"/>
    <w:rsid w:val="33FF585B"/>
    <w:rsid w:val="341222FE"/>
    <w:rsid w:val="34AF7BFE"/>
    <w:rsid w:val="34C969B6"/>
    <w:rsid w:val="35A645F2"/>
    <w:rsid w:val="35CB3800"/>
    <w:rsid w:val="36081486"/>
    <w:rsid w:val="3620464F"/>
    <w:rsid w:val="36267311"/>
    <w:rsid w:val="36416C14"/>
    <w:rsid w:val="366B2405"/>
    <w:rsid w:val="36ED2DC2"/>
    <w:rsid w:val="37CB4866"/>
    <w:rsid w:val="38616D76"/>
    <w:rsid w:val="38C116AD"/>
    <w:rsid w:val="3ABF584B"/>
    <w:rsid w:val="3AE06415"/>
    <w:rsid w:val="3B1D4D3A"/>
    <w:rsid w:val="3B1E11F2"/>
    <w:rsid w:val="3B3261DC"/>
    <w:rsid w:val="3B8F2744"/>
    <w:rsid w:val="3BCD3BF3"/>
    <w:rsid w:val="3C1B0BDA"/>
    <w:rsid w:val="3C1C2A58"/>
    <w:rsid w:val="3C3F629C"/>
    <w:rsid w:val="3C4C1B38"/>
    <w:rsid w:val="3CC57762"/>
    <w:rsid w:val="3D2E150D"/>
    <w:rsid w:val="3D774C98"/>
    <w:rsid w:val="3DA924E0"/>
    <w:rsid w:val="3DD26E51"/>
    <w:rsid w:val="3DFE15C4"/>
    <w:rsid w:val="3EEA4AAC"/>
    <w:rsid w:val="3EF44FD4"/>
    <w:rsid w:val="3FDA4BFA"/>
    <w:rsid w:val="3FEF1D74"/>
    <w:rsid w:val="3FFA159D"/>
    <w:rsid w:val="4028093E"/>
    <w:rsid w:val="40A203D0"/>
    <w:rsid w:val="41021CB6"/>
    <w:rsid w:val="42714C57"/>
    <w:rsid w:val="428C04CB"/>
    <w:rsid w:val="4293387E"/>
    <w:rsid w:val="43294C63"/>
    <w:rsid w:val="43297F3D"/>
    <w:rsid w:val="438A330C"/>
    <w:rsid w:val="43B141DD"/>
    <w:rsid w:val="43BB175A"/>
    <w:rsid w:val="43CB7FC0"/>
    <w:rsid w:val="43D2693C"/>
    <w:rsid w:val="443A7490"/>
    <w:rsid w:val="44694FB6"/>
    <w:rsid w:val="44D416C8"/>
    <w:rsid w:val="44E55C94"/>
    <w:rsid w:val="44F042A4"/>
    <w:rsid w:val="45004955"/>
    <w:rsid w:val="45104F09"/>
    <w:rsid w:val="4568626D"/>
    <w:rsid w:val="45A64DC9"/>
    <w:rsid w:val="45D44A70"/>
    <w:rsid w:val="4606166D"/>
    <w:rsid w:val="461247C1"/>
    <w:rsid w:val="468D0F58"/>
    <w:rsid w:val="47382E8E"/>
    <w:rsid w:val="47BD2EBF"/>
    <w:rsid w:val="480073D8"/>
    <w:rsid w:val="483C7010"/>
    <w:rsid w:val="48827744"/>
    <w:rsid w:val="489F04CD"/>
    <w:rsid w:val="48DD3AEA"/>
    <w:rsid w:val="48FF5BC4"/>
    <w:rsid w:val="4909275C"/>
    <w:rsid w:val="496B0DFD"/>
    <w:rsid w:val="49916B70"/>
    <w:rsid w:val="499C7F1A"/>
    <w:rsid w:val="49BD7F19"/>
    <w:rsid w:val="4A4107F5"/>
    <w:rsid w:val="4AAD5187"/>
    <w:rsid w:val="4AB334E0"/>
    <w:rsid w:val="4AC54120"/>
    <w:rsid w:val="4AE14CE5"/>
    <w:rsid w:val="4B820C21"/>
    <w:rsid w:val="4C14046C"/>
    <w:rsid w:val="4C311206"/>
    <w:rsid w:val="4C740FBB"/>
    <w:rsid w:val="4CB32D3F"/>
    <w:rsid w:val="4D1769F0"/>
    <w:rsid w:val="4D2C3744"/>
    <w:rsid w:val="4DF73079"/>
    <w:rsid w:val="4E222F58"/>
    <w:rsid w:val="4E63642D"/>
    <w:rsid w:val="4E734BC1"/>
    <w:rsid w:val="4EEE3525"/>
    <w:rsid w:val="4F1A25AD"/>
    <w:rsid w:val="4F4A5D3D"/>
    <w:rsid w:val="4F882DF6"/>
    <w:rsid w:val="4FA71C42"/>
    <w:rsid w:val="4FBE626D"/>
    <w:rsid w:val="50047D3F"/>
    <w:rsid w:val="50803E7A"/>
    <w:rsid w:val="50952AAD"/>
    <w:rsid w:val="50D16751"/>
    <w:rsid w:val="50FC4159"/>
    <w:rsid w:val="51BC33A4"/>
    <w:rsid w:val="52387E00"/>
    <w:rsid w:val="52657DC0"/>
    <w:rsid w:val="52A02608"/>
    <w:rsid w:val="53046661"/>
    <w:rsid w:val="53F344DD"/>
    <w:rsid w:val="53F34D30"/>
    <w:rsid w:val="54141C5F"/>
    <w:rsid w:val="5415308F"/>
    <w:rsid w:val="548E4C17"/>
    <w:rsid w:val="54E33DB4"/>
    <w:rsid w:val="559303C8"/>
    <w:rsid w:val="56902820"/>
    <w:rsid w:val="56D73D29"/>
    <w:rsid w:val="56D805CB"/>
    <w:rsid w:val="57252D4C"/>
    <w:rsid w:val="578951E7"/>
    <w:rsid w:val="57B242AE"/>
    <w:rsid w:val="580B1B2A"/>
    <w:rsid w:val="582D4E7E"/>
    <w:rsid w:val="585C7AD6"/>
    <w:rsid w:val="587E7112"/>
    <w:rsid w:val="58873EE9"/>
    <w:rsid w:val="58B90AAC"/>
    <w:rsid w:val="58D33E46"/>
    <w:rsid w:val="59451621"/>
    <w:rsid w:val="59804317"/>
    <w:rsid w:val="5A3916BC"/>
    <w:rsid w:val="5A5554D1"/>
    <w:rsid w:val="5ACB668C"/>
    <w:rsid w:val="5AD564E3"/>
    <w:rsid w:val="5AF453B5"/>
    <w:rsid w:val="5B4F5A23"/>
    <w:rsid w:val="5B9A48FE"/>
    <w:rsid w:val="5BE54260"/>
    <w:rsid w:val="5C03165A"/>
    <w:rsid w:val="5C753FBD"/>
    <w:rsid w:val="5C845BC3"/>
    <w:rsid w:val="5D0B6B17"/>
    <w:rsid w:val="5D265BFE"/>
    <w:rsid w:val="5DC638A4"/>
    <w:rsid w:val="5DE26877"/>
    <w:rsid w:val="5E0314D0"/>
    <w:rsid w:val="5E9F5E2F"/>
    <w:rsid w:val="5EA54D66"/>
    <w:rsid w:val="5ED27D96"/>
    <w:rsid w:val="5FAE3C1E"/>
    <w:rsid w:val="60176AA1"/>
    <w:rsid w:val="601C52A9"/>
    <w:rsid w:val="603B3B74"/>
    <w:rsid w:val="60B5412C"/>
    <w:rsid w:val="60BC6411"/>
    <w:rsid w:val="61AF27D1"/>
    <w:rsid w:val="61D4570E"/>
    <w:rsid w:val="61FE73B1"/>
    <w:rsid w:val="62090166"/>
    <w:rsid w:val="621D6C97"/>
    <w:rsid w:val="628E517D"/>
    <w:rsid w:val="629C6F02"/>
    <w:rsid w:val="62F3291C"/>
    <w:rsid w:val="632D59F4"/>
    <w:rsid w:val="636D6759"/>
    <w:rsid w:val="63D17AAF"/>
    <w:rsid w:val="646466A7"/>
    <w:rsid w:val="646D5888"/>
    <w:rsid w:val="649B770A"/>
    <w:rsid w:val="65B3429B"/>
    <w:rsid w:val="666B0042"/>
    <w:rsid w:val="6695767F"/>
    <w:rsid w:val="669876C5"/>
    <w:rsid w:val="669A6BCA"/>
    <w:rsid w:val="66A97CCD"/>
    <w:rsid w:val="66B83359"/>
    <w:rsid w:val="66D93407"/>
    <w:rsid w:val="66F52B79"/>
    <w:rsid w:val="674701DD"/>
    <w:rsid w:val="674E1284"/>
    <w:rsid w:val="67791B52"/>
    <w:rsid w:val="678F7D1C"/>
    <w:rsid w:val="67B02672"/>
    <w:rsid w:val="67F34F90"/>
    <w:rsid w:val="67FA6925"/>
    <w:rsid w:val="68F83689"/>
    <w:rsid w:val="68F9738C"/>
    <w:rsid w:val="690A41ED"/>
    <w:rsid w:val="6950210B"/>
    <w:rsid w:val="69B84930"/>
    <w:rsid w:val="6AA1751A"/>
    <w:rsid w:val="6B3773F6"/>
    <w:rsid w:val="6B4260BD"/>
    <w:rsid w:val="6BFB6DB8"/>
    <w:rsid w:val="6D72001A"/>
    <w:rsid w:val="6D790A61"/>
    <w:rsid w:val="6DFF0623"/>
    <w:rsid w:val="6E7D749A"/>
    <w:rsid w:val="6EC018FE"/>
    <w:rsid w:val="6FAC37F7"/>
    <w:rsid w:val="6FD518E1"/>
    <w:rsid w:val="702177F8"/>
    <w:rsid w:val="70680FA0"/>
    <w:rsid w:val="709A16D4"/>
    <w:rsid w:val="709A7B1B"/>
    <w:rsid w:val="70B558FD"/>
    <w:rsid w:val="71275730"/>
    <w:rsid w:val="7191735E"/>
    <w:rsid w:val="72270B56"/>
    <w:rsid w:val="738E763D"/>
    <w:rsid w:val="74521C25"/>
    <w:rsid w:val="746F038B"/>
    <w:rsid w:val="74BC07DB"/>
    <w:rsid w:val="75280129"/>
    <w:rsid w:val="7530247A"/>
    <w:rsid w:val="759978CC"/>
    <w:rsid w:val="76320D9A"/>
    <w:rsid w:val="76871284"/>
    <w:rsid w:val="769367A2"/>
    <w:rsid w:val="772D6395"/>
    <w:rsid w:val="77DC6BAC"/>
    <w:rsid w:val="77EA2826"/>
    <w:rsid w:val="77EB1A53"/>
    <w:rsid w:val="782126F5"/>
    <w:rsid w:val="78833509"/>
    <w:rsid w:val="78DE7EBE"/>
    <w:rsid w:val="78F0559D"/>
    <w:rsid w:val="78F63FBC"/>
    <w:rsid w:val="79497FA2"/>
    <w:rsid w:val="795B3975"/>
    <w:rsid w:val="796443F7"/>
    <w:rsid w:val="799A470F"/>
    <w:rsid w:val="7A496371"/>
    <w:rsid w:val="7A8B7C93"/>
    <w:rsid w:val="7ABC1705"/>
    <w:rsid w:val="7B0E64C9"/>
    <w:rsid w:val="7B17135D"/>
    <w:rsid w:val="7B3426D8"/>
    <w:rsid w:val="7B62251E"/>
    <w:rsid w:val="7BD16F30"/>
    <w:rsid w:val="7C1A4147"/>
    <w:rsid w:val="7CAD6BC4"/>
    <w:rsid w:val="7CC962C6"/>
    <w:rsid w:val="7CE51231"/>
    <w:rsid w:val="7CED0E52"/>
    <w:rsid w:val="7CF466CF"/>
    <w:rsid w:val="7D017AA5"/>
    <w:rsid w:val="7D272AF4"/>
    <w:rsid w:val="7DD773F4"/>
    <w:rsid w:val="7DFB663E"/>
    <w:rsid w:val="7EB30629"/>
    <w:rsid w:val="7EFC188F"/>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4"/>
    <w:semiHidden/>
    <w:unhideWhenUsed/>
    <w:qFormat/>
    <w:uiPriority w:val="99"/>
    <w:pPr>
      <w:ind w:left="100" w:leftChars="200" w:hanging="200" w:hangingChars="200"/>
      <w:contextualSpacing/>
    </w:pPr>
  </w:style>
  <w:style w:type="paragraph" w:styleId="14">
    <w:name w:val="List"/>
    <w:basedOn w:val="1"/>
    <w:semiHidden/>
    <w:unhideWhenUsed/>
    <w:qFormat/>
    <w:uiPriority w:val="99"/>
    <w:pPr>
      <w:ind w:left="200" w:hanging="200" w:hangingChars="200"/>
      <w:contextualSpacing/>
    </w:pPr>
  </w:style>
  <w:style w:type="paragraph" w:styleId="15">
    <w:name w:val="Balloon Text"/>
    <w:basedOn w:val="1"/>
    <w:link w:val="47"/>
    <w:semiHidden/>
    <w:unhideWhenUsed/>
    <w:qFormat/>
    <w:uiPriority w:val="99"/>
    <w:rPr>
      <w:rFonts w:ascii="Cambria Math" w:hAnsi="Cambria Math" w:eastAsia="Cambria Math"/>
      <w:sz w:val="18"/>
      <w:szCs w:val="18"/>
    </w:rPr>
  </w:style>
  <w:style w:type="paragraph" w:styleId="16">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7">
    <w:name w:val="header"/>
    <w:basedOn w:val="1"/>
    <w:link w:val="25"/>
    <w:qFormat/>
    <w:uiPriority w:val="99"/>
    <w:pPr>
      <w:tabs>
        <w:tab w:val="center" w:pos="4153"/>
        <w:tab w:val="right" w:pos="8306"/>
      </w:tabs>
    </w:pPr>
    <w:rPr>
      <w:rFonts w:eastAsia="Courier New"/>
      <w:sz w:val="20"/>
      <w:szCs w:val="20"/>
      <w:lang w:eastAsia="en-US"/>
    </w:r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7"/>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5"/>
    <w:semiHidden/>
    <w:qFormat/>
    <w:uiPriority w:val="99"/>
    <w:rPr>
      <w:rFonts w:ascii="Cambria Math" w:eastAsia="Cambria Math"/>
      <w:sz w:val="18"/>
      <w:szCs w:val="18"/>
    </w:rPr>
  </w:style>
  <w:style w:type="character" w:customStyle="1" w:styleId="48">
    <w:name w:val="页脚 字符"/>
    <w:link w:val="16"/>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4"/>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15</Pages>
  <Words>3418</Words>
  <Characters>19486</Characters>
  <Lines>162</Lines>
  <Paragraphs>45</Paragraphs>
  <TotalTime>17</TotalTime>
  <ScaleCrop>false</ScaleCrop>
  <LinksUpToDate>false</LinksUpToDate>
  <CharactersWithSpaces>22859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CMCC-shiyuan-v2</cp:lastModifiedBy>
  <dcterms:modified xsi:type="dcterms:W3CDTF">2025-02-07T09:06:59Z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34D6510157444E8DA08695970280360A</vt:lpwstr>
  </property>
</Properties>
</file>